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940"/>
        <w:gridCol w:w="1482"/>
        <w:gridCol w:w="3076"/>
        <w:gridCol w:w="2610"/>
        <w:gridCol w:w="1899"/>
      </w:tblGrid>
      <w:tr w14:paraId="21B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115" w:type="dxa"/>
          </w:tcPr>
          <w:p w14:paraId="6A38E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2940" w:type="dxa"/>
          </w:tcPr>
          <w:p w14:paraId="498764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项目名称</w:t>
            </w:r>
          </w:p>
        </w:tc>
        <w:tc>
          <w:tcPr>
            <w:tcW w:w="1482" w:type="dxa"/>
          </w:tcPr>
          <w:p w14:paraId="72FDC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项目时间</w:t>
            </w:r>
          </w:p>
        </w:tc>
        <w:tc>
          <w:tcPr>
            <w:tcW w:w="3076" w:type="dxa"/>
          </w:tcPr>
          <w:p w14:paraId="3784988D">
            <w:pPr>
              <w:ind w:firstLine="236" w:firstLineChars="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项目要求</w:t>
            </w:r>
          </w:p>
        </w:tc>
        <w:tc>
          <w:tcPr>
            <w:tcW w:w="2610" w:type="dxa"/>
          </w:tcPr>
          <w:p w14:paraId="1FC624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项目费用</w:t>
            </w:r>
          </w:p>
        </w:tc>
        <w:tc>
          <w:tcPr>
            <w:tcW w:w="1899" w:type="dxa"/>
          </w:tcPr>
          <w:p w14:paraId="5DF965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特别备注</w:t>
            </w:r>
          </w:p>
        </w:tc>
      </w:tr>
      <w:tr w14:paraId="2655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4C94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FD71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圣路易斯华盛顿大学法学院1+1/2+1/3+1/3+2/4+1学位项目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40D8D68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  <w:highlight w:val="none"/>
              </w:rPr>
              <w:t>秋季</w:t>
            </w:r>
            <w:r>
              <w:rPr>
                <w:rFonts w:hint="eastAsia"/>
                <w:szCs w:val="24"/>
              </w:rPr>
              <w:t>或</w:t>
            </w:r>
            <w:r>
              <w:rPr>
                <w:rFonts w:hint="eastAsia"/>
                <w:szCs w:val="24"/>
                <w:highlight w:val="none"/>
              </w:rPr>
              <w:t>春季</w:t>
            </w:r>
            <w:r>
              <w:rPr>
                <w:rFonts w:hint="eastAsia"/>
                <w:szCs w:val="24"/>
              </w:rPr>
              <w:t>入学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DF5674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大二、大三、大四学生、研究生（非毕业班）</w:t>
            </w:r>
          </w:p>
          <w:p w14:paraId="1C51DB2D">
            <w:pPr>
              <w:pStyle w:val="6"/>
              <w:widowControl/>
              <w:numPr>
                <w:ilvl w:val="0"/>
                <w:numId w:val="1"/>
              </w:numPr>
              <w:tabs>
                <w:tab w:val="clear" w:pos="312"/>
              </w:tabs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托福</w:t>
            </w:r>
            <w:r>
              <w:rPr>
                <w:szCs w:val="24"/>
              </w:rPr>
              <w:t>90</w:t>
            </w:r>
            <w:r>
              <w:rPr>
                <w:rFonts w:hint="eastAsia"/>
                <w:szCs w:val="24"/>
              </w:rPr>
              <w:t>及以上或雅思</w:t>
            </w:r>
            <w:r>
              <w:rPr>
                <w:szCs w:val="24"/>
              </w:rPr>
              <w:t>6.5</w:t>
            </w:r>
            <w:r>
              <w:rPr>
                <w:rFonts w:hint="eastAsia"/>
                <w:szCs w:val="24"/>
              </w:rPr>
              <w:t>及以上</w:t>
            </w:r>
          </w:p>
          <w:p w14:paraId="749AC370">
            <w:pPr>
              <w:pStyle w:val="6"/>
              <w:widowControl/>
              <w:numPr>
                <w:ilvl w:val="0"/>
                <w:numId w:val="1"/>
              </w:numPr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学习成绩优良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729DEA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托福成绩在100分或雅思成绩7分以上提供8个LL.M奖学金名额，每笔金额为10000美元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2074F9">
            <w:pPr>
              <w:pStyle w:val="6"/>
              <w:widowControl/>
              <w:spacing w:after="0" w:line="21" w:lineRule="atLeas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按照近2年申请情况，提供的奖学金远高于协议设定，可咨询了解</w:t>
            </w:r>
          </w:p>
        </w:tc>
      </w:tr>
      <w:tr w14:paraId="65D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18FFDD00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0" w:type="dxa"/>
          </w:tcPr>
          <w:p w14:paraId="480E7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悉尼大学法学院学位项目</w:t>
            </w:r>
          </w:p>
        </w:tc>
        <w:tc>
          <w:tcPr>
            <w:tcW w:w="1482" w:type="dxa"/>
          </w:tcPr>
          <w:p w14:paraId="353B01CC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秋季</w:t>
            </w:r>
            <w:r>
              <w:rPr>
                <w:rFonts w:hint="eastAsia"/>
                <w:sz w:val="24"/>
                <w:szCs w:val="24"/>
              </w:rPr>
              <w:t>或</w:t>
            </w:r>
            <w:r>
              <w:rPr>
                <w:rFonts w:hint="eastAsia"/>
                <w:sz w:val="24"/>
                <w:szCs w:val="24"/>
                <w:highlight w:val="none"/>
              </w:rPr>
              <w:t>春季</w:t>
            </w:r>
            <w:r>
              <w:rPr>
                <w:rFonts w:hint="eastAsia"/>
                <w:sz w:val="24"/>
                <w:szCs w:val="24"/>
              </w:rPr>
              <w:t>入学，每年至多10个名额</w:t>
            </w:r>
          </w:p>
        </w:tc>
        <w:tc>
          <w:tcPr>
            <w:tcW w:w="3076" w:type="dxa"/>
          </w:tcPr>
          <w:p w14:paraId="53F3D314">
            <w:pPr>
              <w:numPr>
                <w:ilvl w:val="-1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.光华法学院研究生</w:t>
            </w:r>
          </w:p>
          <w:p w14:paraId="40F0A380">
            <w:pPr>
              <w:numPr>
                <w:ilvl w:val="-1"/>
                <w:numId w:val="0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（本科法学专业毕业可申请LLM，非法学法硕学生可尝试申请specialist masters program），最终录取与否由悉尼大学审核决定</w:t>
            </w:r>
            <w:r>
              <w:rPr>
                <w:sz w:val="24"/>
                <w:szCs w:val="24"/>
              </w:rPr>
              <w:t>；</w:t>
            </w:r>
          </w:p>
          <w:p w14:paraId="65DEAD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2.雅思总分7分，各项不低于6分；或托福机考96分，各项要求阅读、听力、口语17分，写作19分（语言要求以悉尼大学官网要求为准，未达标者入读英语课程规则参见悉尼大学官网）；</w:t>
            </w:r>
          </w:p>
          <w:p w14:paraId="4B9783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3.学习成绩优良，211大学本科总平均分不低于70分，非211大学不低于80分</w:t>
            </w:r>
            <w:r>
              <w:rPr>
                <w:sz w:val="24"/>
                <w:szCs w:val="24"/>
              </w:rPr>
              <w:t>。</w:t>
            </w:r>
          </w:p>
        </w:tc>
        <w:tc>
          <w:tcPr>
            <w:tcW w:w="2610" w:type="dxa"/>
          </w:tcPr>
          <w:p w14:paraId="6C08B5E8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学费，注册费、生活费等费用自理。学费享受澳洲本地学生学费待遇，比普通国际学生减免8500澳元左右（只针对LLM项目）</w:t>
            </w:r>
          </w:p>
        </w:tc>
        <w:tc>
          <w:tcPr>
            <w:tcW w:w="1899" w:type="dxa"/>
          </w:tcPr>
          <w:p w14:paraId="47A94AC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F1A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74EE66D8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0" w:type="dxa"/>
          </w:tcPr>
          <w:p w14:paraId="68EEE1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香港城市大学法学院交换项目</w:t>
            </w:r>
          </w:p>
        </w:tc>
        <w:tc>
          <w:tcPr>
            <w:tcW w:w="1482" w:type="dxa"/>
          </w:tcPr>
          <w:p w14:paraId="46881C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每学年2名，一学期</w:t>
            </w:r>
          </w:p>
        </w:tc>
        <w:tc>
          <w:tcPr>
            <w:tcW w:w="3076" w:type="dxa"/>
          </w:tcPr>
          <w:p w14:paraId="7A044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1.大二及以上本科生（非毕业班），非毕业班研究生</w:t>
            </w:r>
          </w:p>
          <w:p w14:paraId="074DF3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雅思7分或托福600（传统笔试）或托福100（互联网考试）或71（新办纸笔考试）或大学英语六级530</w:t>
            </w:r>
          </w:p>
          <w:p w14:paraId="6DF4D6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3.学习成绩优良</w:t>
            </w:r>
          </w:p>
        </w:tc>
        <w:tc>
          <w:tcPr>
            <w:tcW w:w="2610" w:type="dxa"/>
          </w:tcPr>
          <w:p w14:paraId="2A75852E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免学费，注册费</w:t>
            </w:r>
            <w:bookmarkStart w:id="0" w:name="OLE_LINK3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、生活费等其他费用自理</w:t>
            </w:r>
            <w:bookmarkEnd w:id="0"/>
            <w:r>
              <w:rPr>
                <w:rFonts w:hint="eastAsia"/>
                <w:sz w:val="24"/>
                <w:szCs w:val="24"/>
              </w:rPr>
              <w:t>（不对等交换的学生需承担相应学费）</w:t>
            </w:r>
          </w:p>
        </w:tc>
        <w:tc>
          <w:tcPr>
            <w:tcW w:w="1899" w:type="dxa"/>
          </w:tcPr>
          <w:p w14:paraId="76E6271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特殊情况交换期可为一学年，一名一学年的交换生相当于两名一学期的交换生</w:t>
            </w:r>
          </w:p>
        </w:tc>
      </w:tr>
      <w:tr w14:paraId="5893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76FD3A63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0" w:type="dxa"/>
          </w:tcPr>
          <w:p w14:paraId="487835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香港大学法学院交换项目</w:t>
            </w:r>
          </w:p>
        </w:tc>
        <w:tc>
          <w:tcPr>
            <w:tcW w:w="1482" w:type="dxa"/>
          </w:tcPr>
          <w:p w14:paraId="3BDC8AE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每学年6名，一学期</w:t>
            </w:r>
          </w:p>
          <w:p w14:paraId="5F4CB57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春夏学期遴选已结束</w:t>
            </w:r>
          </w:p>
        </w:tc>
        <w:tc>
          <w:tcPr>
            <w:tcW w:w="3076" w:type="dxa"/>
          </w:tcPr>
          <w:p w14:paraId="613A17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1.大二及以上本科生（非毕业班）</w:t>
            </w:r>
          </w:p>
          <w:p w14:paraId="21ACF3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雅思7分（小分不低于6.5）或托福97</w:t>
            </w:r>
          </w:p>
          <w:p w14:paraId="09CBDE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 GPA 3.33</w:t>
            </w:r>
          </w:p>
        </w:tc>
        <w:tc>
          <w:tcPr>
            <w:tcW w:w="2610" w:type="dxa"/>
          </w:tcPr>
          <w:p w14:paraId="262DAE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免学费，生活费等其他费用自理</w:t>
            </w:r>
          </w:p>
        </w:tc>
        <w:tc>
          <w:tcPr>
            <w:tcW w:w="1899" w:type="dxa"/>
          </w:tcPr>
          <w:p w14:paraId="25BF11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特殊情况交换期可为一学年，一名一学年的交换生相当于两名一学期的交换生</w:t>
            </w:r>
          </w:p>
        </w:tc>
      </w:tr>
      <w:tr w14:paraId="21CD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37908440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0" w:type="dxa"/>
          </w:tcPr>
          <w:p w14:paraId="564D3B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澳门大学法学院交换项目</w:t>
            </w:r>
          </w:p>
        </w:tc>
        <w:tc>
          <w:tcPr>
            <w:tcW w:w="1482" w:type="dxa"/>
          </w:tcPr>
          <w:p w14:paraId="79638A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每学期至多2个名额</w:t>
            </w:r>
          </w:p>
        </w:tc>
        <w:tc>
          <w:tcPr>
            <w:tcW w:w="3076" w:type="dxa"/>
          </w:tcPr>
          <w:p w14:paraId="7C98FF0D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大二及以上本科生（非毕业班），非毕业班研究生</w:t>
            </w:r>
          </w:p>
          <w:p w14:paraId="21E43C3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610" w:type="dxa"/>
          </w:tcPr>
          <w:p w14:paraId="7C10B601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按照双方协议，免学费，注册费、生活费等其他费用自理</w:t>
            </w:r>
          </w:p>
        </w:tc>
        <w:tc>
          <w:tcPr>
            <w:tcW w:w="1899" w:type="dxa"/>
          </w:tcPr>
          <w:p w14:paraId="31DE226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特殊情况交换期可为一学年，一名一学年的交换生相当于两名一学期的交换生</w:t>
            </w:r>
          </w:p>
        </w:tc>
      </w:tr>
      <w:tr w14:paraId="02AA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4A2873CE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0" w:type="dxa"/>
          </w:tcPr>
          <w:p w14:paraId="068CC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神户大学交换生项目</w:t>
            </w:r>
          </w:p>
        </w:tc>
        <w:tc>
          <w:tcPr>
            <w:tcW w:w="1482" w:type="dxa"/>
          </w:tcPr>
          <w:p w14:paraId="0B7E3EF9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每学年3名，原则上留学1年（也可1学期）</w:t>
            </w:r>
          </w:p>
        </w:tc>
        <w:tc>
          <w:tcPr>
            <w:tcW w:w="3076" w:type="dxa"/>
          </w:tcPr>
          <w:p w14:paraId="2883E73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大二及以上本科生（非毕业班），非毕业班研究生</w:t>
            </w:r>
          </w:p>
          <w:p w14:paraId="23966319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2. 学习成绩优良</w:t>
            </w:r>
          </w:p>
        </w:tc>
        <w:tc>
          <w:tcPr>
            <w:tcW w:w="2610" w:type="dxa"/>
          </w:tcPr>
          <w:p w14:paraId="7911BE79">
            <w:pPr>
              <w:pStyle w:val="6"/>
              <w:widowControl/>
              <w:spacing w:after="0" w:line="21" w:lineRule="atLeast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</w:rPr>
              <w:t>免学费，免入学手续费，其他费用自理</w:t>
            </w:r>
          </w:p>
        </w:tc>
        <w:tc>
          <w:tcPr>
            <w:tcW w:w="1899" w:type="dxa"/>
          </w:tcPr>
          <w:p w14:paraId="7798BC10">
            <w:pPr>
              <w:pStyle w:val="6"/>
              <w:widowControl/>
              <w:spacing w:after="0" w:line="21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</w:p>
        </w:tc>
      </w:tr>
      <w:tr w14:paraId="6875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5CBB3257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0" w:type="dxa"/>
          </w:tcPr>
          <w:p w14:paraId="413528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九州大学交换生项目</w:t>
            </w:r>
          </w:p>
        </w:tc>
        <w:tc>
          <w:tcPr>
            <w:tcW w:w="1482" w:type="dxa"/>
          </w:tcPr>
          <w:p w14:paraId="55D02C7D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每学年5名，交换期限不得超过1个学年</w:t>
            </w:r>
          </w:p>
        </w:tc>
        <w:tc>
          <w:tcPr>
            <w:tcW w:w="3076" w:type="dxa"/>
          </w:tcPr>
          <w:p w14:paraId="20065F91">
            <w:pPr>
              <w:pStyle w:val="6"/>
              <w:widowControl/>
              <w:numPr>
                <w:ilvl w:val="0"/>
                <w:numId w:val="4"/>
              </w:numPr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非毕业班法学学士、本科为法学的法律硕士、法学硕士和博士在读学生；</w:t>
            </w:r>
          </w:p>
          <w:p w14:paraId="7D90D35B">
            <w:pPr>
              <w:pStyle w:val="6"/>
              <w:widowControl/>
              <w:numPr>
                <w:ilvl w:val="0"/>
                <w:numId w:val="4"/>
              </w:numPr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成绩优良</w:t>
            </w:r>
          </w:p>
        </w:tc>
        <w:tc>
          <w:tcPr>
            <w:tcW w:w="2610" w:type="dxa"/>
          </w:tcPr>
          <w:p w14:paraId="4ADB8613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免学费，生活费等其他费用自理</w:t>
            </w:r>
          </w:p>
        </w:tc>
        <w:tc>
          <w:tcPr>
            <w:tcW w:w="1899" w:type="dxa"/>
          </w:tcPr>
          <w:p w14:paraId="5CE5197B">
            <w:pPr>
              <w:pStyle w:val="6"/>
              <w:widowControl/>
              <w:spacing w:after="0" w:line="21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</w:p>
        </w:tc>
      </w:tr>
      <w:tr w14:paraId="5BB4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</w:tcPr>
          <w:p w14:paraId="42193D23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1" w:name="OLE_LINK2" w:colFirst="1" w:colLast="5"/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0" w:type="dxa"/>
          </w:tcPr>
          <w:p w14:paraId="60E087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法国艾克斯马赛大学欧盟商法硕士项目</w:t>
            </w:r>
          </w:p>
        </w:tc>
        <w:tc>
          <w:tcPr>
            <w:tcW w:w="1482" w:type="dxa"/>
          </w:tcPr>
          <w:p w14:paraId="31B513EF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  <w:highlight w:val="none"/>
              </w:rPr>
              <w:t>秋季</w:t>
            </w:r>
            <w:r>
              <w:rPr>
                <w:rFonts w:hint="eastAsia"/>
                <w:szCs w:val="24"/>
              </w:rPr>
              <w:t>入学，一学年</w:t>
            </w:r>
          </w:p>
        </w:tc>
        <w:tc>
          <w:tcPr>
            <w:tcW w:w="3076" w:type="dxa"/>
          </w:tcPr>
          <w:p w14:paraId="106BAE2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1.非毕业班研究生；</w:t>
            </w:r>
          </w:p>
          <w:p w14:paraId="4B16AB54">
            <w:pPr>
              <w:shd w:val="clear" w:color="auto" w:fill="FFFFFF"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bookmarkStart w:id="2" w:name="OLE_LINK7"/>
            <w:r>
              <w:rPr>
                <w:rFonts w:hint="eastAsia"/>
                <w:sz w:val="24"/>
                <w:szCs w:val="24"/>
              </w:rPr>
              <w:t>.两年内有效的TOEFL（100以上）或IELTS（6.5）成绩；</w:t>
            </w:r>
            <w:bookmarkEnd w:id="2"/>
          </w:p>
          <w:p w14:paraId="6D3A5BD9">
            <w:pPr>
              <w:pStyle w:val="6"/>
              <w:widowControl/>
              <w:spacing w:after="0" w:line="21" w:lineRule="atLeast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szCs w:val="24"/>
              </w:rPr>
              <w:t>3.学习成绩优良</w:t>
            </w:r>
          </w:p>
        </w:tc>
        <w:tc>
          <w:tcPr>
            <w:tcW w:w="2610" w:type="dxa"/>
          </w:tcPr>
          <w:p w14:paraId="6A0DE85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1.费用自理；</w:t>
            </w:r>
          </w:p>
          <w:p w14:paraId="27BCB6C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2.可申请埃菲尔奖学金，若获取奖学金名额则可免学费，发放生活费</w:t>
            </w:r>
          </w:p>
          <w:p w14:paraId="251A3256">
            <w:pPr>
              <w:pStyle w:val="6"/>
              <w:widowControl/>
              <w:spacing w:after="0" w:line="21" w:lineRule="atLeast"/>
              <w:rPr>
                <w:szCs w:val="24"/>
              </w:rPr>
            </w:pPr>
          </w:p>
        </w:tc>
        <w:tc>
          <w:tcPr>
            <w:tcW w:w="1899" w:type="dxa"/>
          </w:tcPr>
          <w:p w14:paraId="3ADE9BB1">
            <w:pPr>
              <w:pStyle w:val="6"/>
              <w:widowControl/>
              <w:spacing w:after="0" w:line="21" w:lineRule="atLeast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项目介绍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详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见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报名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通知附件</w:t>
            </w:r>
            <w:bookmarkStart w:id="4" w:name="_GoBack"/>
            <w:bookmarkEnd w:id="4"/>
          </w:p>
        </w:tc>
      </w:tr>
      <w:tr w14:paraId="0890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</w:tcPr>
          <w:p w14:paraId="42D64941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40" w:type="dxa"/>
          </w:tcPr>
          <w:p w14:paraId="1BDABDB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香港大学4+1学位项目</w:t>
            </w:r>
          </w:p>
        </w:tc>
        <w:tc>
          <w:tcPr>
            <w:tcW w:w="1482" w:type="dxa"/>
          </w:tcPr>
          <w:p w14:paraId="45AA83A1">
            <w:pPr>
              <w:pStyle w:val="6"/>
              <w:widowControl/>
              <w:spacing w:after="0" w:line="21" w:lineRule="atLeast"/>
              <w:rPr>
                <w:rFonts w:hint="eastAsia"/>
                <w:szCs w:val="24"/>
                <w:highlight w:val="none"/>
              </w:rPr>
            </w:pPr>
            <w:bookmarkStart w:id="3" w:name="OLE_LINK1"/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秋季</w:t>
            </w:r>
            <w:r>
              <w:rPr>
                <w:rFonts w:hint="eastAsia"/>
                <w:sz w:val="24"/>
                <w:szCs w:val="24"/>
                <w:highlight w:val="none"/>
              </w:rPr>
              <w:t>入学，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每年至多5名</w:t>
            </w:r>
            <w:bookmarkEnd w:id="3"/>
          </w:p>
        </w:tc>
        <w:tc>
          <w:tcPr>
            <w:tcW w:w="3076" w:type="dxa"/>
          </w:tcPr>
          <w:p w14:paraId="2906E150">
            <w:pPr>
              <w:shd w:val="clear" w:color="auto" w:fill="FFFFFF"/>
              <w:spacing w:line="220" w:lineRule="atLeast"/>
              <w:jc w:val="left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大四应届毕业生申请，毕业后就读港大LLM项目</w:t>
            </w:r>
          </w:p>
          <w:p w14:paraId="06FCAF8A">
            <w:pPr>
              <w:shd w:val="clear" w:color="auto" w:fill="FFFFFF"/>
              <w:spacing w:line="220" w:lineRule="atLeast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highlight w:val="none"/>
              </w:rPr>
              <w:t>两年内有效的TOEFL（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97</w:t>
            </w:r>
            <w:r>
              <w:rPr>
                <w:rFonts w:hint="eastAsia"/>
                <w:sz w:val="24"/>
                <w:szCs w:val="24"/>
                <w:highlight w:val="none"/>
              </w:rPr>
              <w:t>以上）或IELTS（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highlight w:val="none"/>
              </w:rPr>
              <w:t>）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小分不低于6.5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highlight w:val="none"/>
              </w:rPr>
              <w:t>成绩；</w:t>
            </w:r>
          </w:p>
          <w:p w14:paraId="089C11CA">
            <w:pPr>
              <w:pStyle w:val="6"/>
              <w:widowControl/>
              <w:spacing w:after="0" w:line="21" w:lineRule="atLeast"/>
              <w:rPr>
                <w:rFonts w:hint="eastAsia"/>
                <w:szCs w:val="24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highlight w:val="none"/>
              </w:rPr>
              <w:t>.学习成绩优良</w:t>
            </w:r>
          </w:p>
        </w:tc>
        <w:tc>
          <w:tcPr>
            <w:tcW w:w="2610" w:type="dxa"/>
          </w:tcPr>
          <w:p w14:paraId="279F4FEF">
            <w:pPr>
              <w:pStyle w:val="6"/>
              <w:widowControl/>
              <w:spacing w:after="0" w:line="21" w:lineRule="atLeast"/>
              <w:rPr>
                <w:szCs w:val="24"/>
              </w:rPr>
            </w:pPr>
          </w:p>
        </w:tc>
        <w:tc>
          <w:tcPr>
            <w:tcW w:w="1899" w:type="dxa"/>
          </w:tcPr>
          <w:p w14:paraId="5E8F6222">
            <w:pPr>
              <w:pStyle w:val="6"/>
              <w:widowControl/>
              <w:spacing w:after="0" w:line="21" w:lineRule="atLeast"/>
              <w:jc w:val="both"/>
              <w:rPr>
                <w:rFonts w:hint="default" w:eastAsia="宋体"/>
                <w:szCs w:val="24"/>
                <w:lang w:val="en-US" w:eastAsia="zh-CN"/>
              </w:rPr>
            </w:pPr>
          </w:p>
        </w:tc>
      </w:tr>
      <w:tr w14:paraId="7EE2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</w:tcPr>
          <w:p w14:paraId="2A3E7509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40" w:type="dxa"/>
          </w:tcPr>
          <w:p w14:paraId="32482D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新加坡管理大学LLM项目</w:t>
            </w:r>
          </w:p>
        </w:tc>
        <w:tc>
          <w:tcPr>
            <w:tcW w:w="1482" w:type="dxa"/>
          </w:tcPr>
          <w:p w14:paraId="3D3678B7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  <w:highlight w:val="none"/>
              </w:rPr>
              <w:t>秋季</w:t>
            </w:r>
            <w:r>
              <w:rPr>
                <w:rFonts w:hint="eastAsia"/>
                <w:szCs w:val="24"/>
              </w:rPr>
              <w:t>入学，一学年</w:t>
            </w:r>
          </w:p>
        </w:tc>
        <w:tc>
          <w:tcPr>
            <w:tcW w:w="3076" w:type="dxa"/>
          </w:tcPr>
          <w:p w14:paraId="5468B92B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1.浙大每年可推荐本科生、硕士生、博士生、近3年本硕博毕业生至新大参加一年制LLM项目，包括本科生3+1、硕士生2+1/1+1、博士生N+1、近3年毕业生推荐就读等。</w:t>
            </w:r>
          </w:p>
          <w:p w14:paraId="059B2BC8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2.两年内有效的雅思6.5及以上，托福90及以上。</w:t>
            </w:r>
          </w:p>
        </w:tc>
        <w:tc>
          <w:tcPr>
            <w:tcW w:w="2610" w:type="dxa"/>
          </w:tcPr>
          <w:p w14:paraId="51B08407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至多4名浙大学生可享受新大4000新币学费减免。</w:t>
            </w:r>
          </w:p>
        </w:tc>
        <w:tc>
          <w:tcPr>
            <w:tcW w:w="1899" w:type="dxa"/>
          </w:tcPr>
          <w:p w14:paraId="2F7579A9">
            <w:pPr>
              <w:pStyle w:val="6"/>
              <w:widowControl/>
              <w:spacing w:after="0" w:line="21" w:lineRule="atLeast"/>
              <w:jc w:val="both"/>
              <w:rPr>
                <w:szCs w:val="24"/>
              </w:rPr>
            </w:pPr>
          </w:p>
        </w:tc>
      </w:tr>
      <w:tr w14:paraId="44F2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</w:tcPr>
          <w:p w14:paraId="7EFDBC75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40" w:type="dxa"/>
          </w:tcPr>
          <w:p w14:paraId="5FAD45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南平国际仲裁院东盟分院实习项目（泰国）</w:t>
            </w:r>
          </w:p>
        </w:tc>
        <w:tc>
          <w:tcPr>
            <w:tcW w:w="1482" w:type="dxa"/>
          </w:tcPr>
          <w:p w14:paraId="0421A0E1">
            <w:pPr>
              <w:pStyle w:val="6"/>
              <w:widowControl/>
              <w:spacing w:after="0" w:line="21" w:lineRule="atLeast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一年四期，每期至多2名</w:t>
            </w:r>
          </w:p>
        </w:tc>
        <w:tc>
          <w:tcPr>
            <w:tcW w:w="3076" w:type="dxa"/>
          </w:tcPr>
          <w:p w14:paraId="03E12FAA">
            <w:pPr>
              <w:pStyle w:val="6"/>
              <w:widowControl/>
              <w:numPr>
                <w:ilvl w:val="0"/>
                <w:numId w:val="5"/>
              </w:numPr>
              <w:spacing w:after="0" w:line="21" w:lineRule="atLeast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面向高年级本科生、硕士生、博士生。实习时长3个月左右。</w:t>
            </w:r>
          </w:p>
          <w:p w14:paraId="0EBBE94B">
            <w:pPr>
              <w:pStyle w:val="6"/>
              <w:widowControl/>
              <w:numPr>
                <w:ilvl w:val="0"/>
                <w:numId w:val="5"/>
              </w:numPr>
              <w:spacing w:after="0" w:line="21" w:lineRule="atLeast"/>
              <w:rPr>
                <w:rFonts w:hint="default"/>
                <w:szCs w:val="24"/>
                <w:lang w:val="en-US" w:eastAsia="zh-CN"/>
              </w:rPr>
            </w:pPr>
            <w:r>
              <w:rPr>
                <w:rFonts w:hint="default"/>
                <w:szCs w:val="24"/>
                <w:lang w:val="en-US" w:eastAsia="zh-CN"/>
              </w:rPr>
              <w:t>英语水平良好。掌握泰语或律所工作经验优先。</w:t>
            </w:r>
          </w:p>
        </w:tc>
        <w:tc>
          <w:tcPr>
            <w:tcW w:w="2610" w:type="dxa"/>
          </w:tcPr>
          <w:p w14:paraId="61FDEB42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实习单位将提供住宿</w:t>
            </w:r>
            <w:r>
              <w:rPr>
                <w:rFonts w:hint="eastAsia"/>
                <w:szCs w:val="24"/>
                <w:lang w:eastAsia="zh-CN"/>
              </w:rPr>
              <w:t>。</w:t>
            </w:r>
            <w:r>
              <w:rPr>
                <w:rFonts w:hint="eastAsia"/>
                <w:szCs w:val="24"/>
              </w:rPr>
              <w:t>学院可提供最高1</w:t>
            </w:r>
            <w:r>
              <w:rPr>
                <w:rFonts w:hint="eastAsia"/>
                <w:szCs w:val="24"/>
                <w:lang w:val="en-US" w:eastAsia="zh-CN"/>
              </w:rPr>
              <w:t>0000</w:t>
            </w:r>
            <w:r>
              <w:rPr>
                <w:rFonts w:hint="eastAsia"/>
                <w:szCs w:val="24"/>
              </w:rPr>
              <w:t>元经费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  <w:lang w:val="en-US" w:eastAsia="zh-CN"/>
              </w:rPr>
              <w:t>用于报销机票、保险费等</w:t>
            </w:r>
            <w:r>
              <w:rPr>
                <w:rFonts w:hint="eastAsia"/>
                <w:szCs w:val="24"/>
              </w:rPr>
              <w:t>。</w:t>
            </w:r>
          </w:p>
        </w:tc>
        <w:tc>
          <w:tcPr>
            <w:tcW w:w="1899" w:type="dxa"/>
          </w:tcPr>
          <w:p w14:paraId="1C1AAB06">
            <w:pPr>
              <w:pStyle w:val="6"/>
              <w:widowControl/>
              <w:spacing w:after="0" w:line="21" w:lineRule="atLeast"/>
              <w:jc w:val="both"/>
              <w:rPr>
                <w:rFonts w:hint="eastAsia" w:eastAsia="宋体"/>
                <w:color w:val="000000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000000"/>
                <w:szCs w:val="24"/>
                <w:shd w:val="clear" w:color="auto" w:fill="FFFFFF"/>
              </w:rPr>
              <w:t>由实习单位对申请人择优进行面试</w:t>
            </w:r>
            <w:r>
              <w:rPr>
                <w:rFonts w:hint="eastAsia"/>
                <w:color w:val="000000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348B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</w:tcPr>
          <w:p w14:paraId="4157B6FD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40" w:type="dxa"/>
          </w:tcPr>
          <w:p w14:paraId="701733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泰国汉成律师事务所实习项目</w:t>
            </w:r>
          </w:p>
        </w:tc>
        <w:tc>
          <w:tcPr>
            <w:tcW w:w="1482" w:type="dxa"/>
          </w:tcPr>
          <w:p w14:paraId="7D4E97DA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一年四期，每期至多2名</w:t>
            </w:r>
          </w:p>
        </w:tc>
        <w:tc>
          <w:tcPr>
            <w:tcW w:w="3076" w:type="dxa"/>
          </w:tcPr>
          <w:p w14:paraId="345B59AE">
            <w:pPr>
              <w:pStyle w:val="6"/>
              <w:widowControl/>
              <w:numPr>
                <w:ilvl w:val="0"/>
                <w:numId w:val="6"/>
              </w:numPr>
              <w:spacing w:after="0" w:line="21" w:lineRule="atLeast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面向高年级本科生、硕士生、博士生。实习时长3个月左右。</w:t>
            </w:r>
          </w:p>
          <w:p w14:paraId="76C0D573">
            <w:pPr>
              <w:pStyle w:val="6"/>
              <w:widowControl/>
              <w:numPr>
                <w:ilvl w:val="0"/>
                <w:numId w:val="6"/>
              </w:numPr>
              <w:spacing w:after="0" w:line="21" w:lineRule="atLeast"/>
              <w:ind w:left="0" w:leftChars="0" w:firstLine="0" w:firstLineChars="0"/>
              <w:rPr>
                <w:szCs w:val="24"/>
              </w:rPr>
            </w:pPr>
            <w:r>
              <w:rPr>
                <w:rFonts w:hint="default"/>
                <w:szCs w:val="24"/>
                <w:lang w:val="en-US" w:eastAsia="zh-CN"/>
              </w:rPr>
              <w:t>英语水平良好。掌握泰语或律所工作经验优先。</w:t>
            </w:r>
          </w:p>
        </w:tc>
        <w:tc>
          <w:tcPr>
            <w:tcW w:w="2610" w:type="dxa"/>
          </w:tcPr>
          <w:p w14:paraId="7034D8DA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实习单位将提供住宿</w:t>
            </w:r>
            <w:r>
              <w:rPr>
                <w:rFonts w:hint="eastAsia"/>
                <w:szCs w:val="24"/>
                <w:lang w:eastAsia="zh-CN"/>
              </w:rPr>
              <w:t>。</w:t>
            </w:r>
            <w:r>
              <w:rPr>
                <w:rFonts w:hint="eastAsia"/>
                <w:szCs w:val="24"/>
              </w:rPr>
              <w:t>学院可提供最高1</w:t>
            </w:r>
            <w:r>
              <w:rPr>
                <w:rFonts w:hint="eastAsia"/>
                <w:szCs w:val="24"/>
                <w:lang w:val="en-US" w:eastAsia="zh-CN"/>
              </w:rPr>
              <w:t>0000</w:t>
            </w:r>
            <w:r>
              <w:rPr>
                <w:rFonts w:hint="eastAsia"/>
                <w:szCs w:val="24"/>
              </w:rPr>
              <w:t>元经费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  <w:lang w:val="en-US" w:eastAsia="zh-CN"/>
              </w:rPr>
              <w:t>用于报销机票、保险费等</w:t>
            </w:r>
            <w:r>
              <w:rPr>
                <w:rFonts w:hint="eastAsia"/>
                <w:szCs w:val="24"/>
              </w:rPr>
              <w:t>。</w:t>
            </w:r>
          </w:p>
        </w:tc>
        <w:tc>
          <w:tcPr>
            <w:tcW w:w="1899" w:type="dxa"/>
          </w:tcPr>
          <w:p w14:paraId="0E73838F">
            <w:pPr>
              <w:pStyle w:val="6"/>
              <w:widowControl/>
              <w:spacing w:after="0" w:line="21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Cs w:val="24"/>
                <w:shd w:val="clear" w:color="auto" w:fill="FFFFFF"/>
              </w:rPr>
              <w:t>由实习单位对申请人择优进行面试</w:t>
            </w:r>
            <w:r>
              <w:rPr>
                <w:rFonts w:hint="eastAsia"/>
                <w:color w:val="000000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bookmarkEnd w:id="1"/>
    </w:tbl>
    <w:p w14:paraId="6AF85FDE"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0FC85"/>
    <w:multiLevelType w:val="singleLevel"/>
    <w:tmpl w:val="9780FC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1B2D13"/>
    <w:multiLevelType w:val="singleLevel"/>
    <w:tmpl w:val="E81B2D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1A02F42"/>
    <w:multiLevelType w:val="singleLevel"/>
    <w:tmpl w:val="F1A02F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3FD173E"/>
    <w:multiLevelType w:val="multilevel"/>
    <w:tmpl w:val="43FD17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5F083008"/>
    <w:multiLevelType w:val="singleLevel"/>
    <w:tmpl w:val="5F08300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ED00161"/>
    <w:multiLevelType w:val="singleLevel"/>
    <w:tmpl w:val="6ED00161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TA4ZjU1YTc2OTQ4NjIzMDVlMGQ4MmNmZWU1NzYifQ=="/>
    <w:docVar w:name="KSO_WPS_MARK_KEY" w:val="8faa6efd-6b8e-481a-96ec-e12f3cc8562a"/>
  </w:docVars>
  <w:rsids>
    <w:rsidRoot w:val="00172A27"/>
    <w:rsid w:val="000033AF"/>
    <w:rsid w:val="00040D6C"/>
    <w:rsid w:val="000546BB"/>
    <w:rsid w:val="000B0F1A"/>
    <w:rsid w:val="000F2370"/>
    <w:rsid w:val="000F5492"/>
    <w:rsid w:val="00135636"/>
    <w:rsid w:val="001416B2"/>
    <w:rsid w:val="0014755B"/>
    <w:rsid w:val="00164411"/>
    <w:rsid w:val="00172A27"/>
    <w:rsid w:val="00172CE3"/>
    <w:rsid w:val="001B67FE"/>
    <w:rsid w:val="001D5FB8"/>
    <w:rsid w:val="00202B55"/>
    <w:rsid w:val="00242BF0"/>
    <w:rsid w:val="002A51BB"/>
    <w:rsid w:val="003240A8"/>
    <w:rsid w:val="00391B89"/>
    <w:rsid w:val="003B2B3F"/>
    <w:rsid w:val="003C1C34"/>
    <w:rsid w:val="004153FC"/>
    <w:rsid w:val="0044115C"/>
    <w:rsid w:val="0049068C"/>
    <w:rsid w:val="004E0880"/>
    <w:rsid w:val="00502AF1"/>
    <w:rsid w:val="00520F74"/>
    <w:rsid w:val="00585B7C"/>
    <w:rsid w:val="00602EA4"/>
    <w:rsid w:val="006511D1"/>
    <w:rsid w:val="00653056"/>
    <w:rsid w:val="006C5275"/>
    <w:rsid w:val="00705E55"/>
    <w:rsid w:val="0079456A"/>
    <w:rsid w:val="007E4CA5"/>
    <w:rsid w:val="007F1C63"/>
    <w:rsid w:val="007F3F0B"/>
    <w:rsid w:val="00831410"/>
    <w:rsid w:val="008B2039"/>
    <w:rsid w:val="008D6C62"/>
    <w:rsid w:val="00911620"/>
    <w:rsid w:val="00A0769C"/>
    <w:rsid w:val="00A427C7"/>
    <w:rsid w:val="00A46FB2"/>
    <w:rsid w:val="00A53390"/>
    <w:rsid w:val="00A85319"/>
    <w:rsid w:val="00A91D7A"/>
    <w:rsid w:val="00AA30B6"/>
    <w:rsid w:val="00AA33A1"/>
    <w:rsid w:val="00B21FC7"/>
    <w:rsid w:val="00B22CAF"/>
    <w:rsid w:val="00B67A3D"/>
    <w:rsid w:val="00B7444E"/>
    <w:rsid w:val="00B83152"/>
    <w:rsid w:val="00BD3E1F"/>
    <w:rsid w:val="00BE1AD9"/>
    <w:rsid w:val="00C712D9"/>
    <w:rsid w:val="00C97456"/>
    <w:rsid w:val="00CA3A2A"/>
    <w:rsid w:val="00CB5DAD"/>
    <w:rsid w:val="00D00A2D"/>
    <w:rsid w:val="00D077B6"/>
    <w:rsid w:val="00D1717E"/>
    <w:rsid w:val="00D6030D"/>
    <w:rsid w:val="00D62F66"/>
    <w:rsid w:val="00DD2E2D"/>
    <w:rsid w:val="00E20313"/>
    <w:rsid w:val="00E51908"/>
    <w:rsid w:val="00E74715"/>
    <w:rsid w:val="00ED7618"/>
    <w:rsid w:val="00F10921"/>
    <w:rsid w:val="00F677D3"/>
    <w:rsid w:val="00FA67CC"/>
    <w:rsid w:val="00FA752B"/>
    <w:rsid w:val="00FA7E73"/>
    <w:rsid w:val="00FB2FEE"/>
    <w:rsid w:val="00FB719A"/>
    <w:rsid w:val="00FC543F"/>
    <w:rsid w:val="00FD2F3D"/>
    <w:rsid w:val="00FE5B38"/>
    <w:rsid w:val="010130C1"/>
    <w:rsid w:val="01057174"/>
    <w:rsid w:val="018C1643"/>
    <w:rsid w:val="01E821F3"/>
    <w:rsid w:val="02E74303"/>
    <w:rsid w:val="04B0389B"/>
    <w:rsid w:val="04DD5D12"/>
    <w:rsid w:val="065F7A31"/>
    <w:rsid w:val="06FBE453"/>
    <w:rsid w:val="07120D45"/>
    <w:rsid w:val="071D4AEC"/>
    <w:rsid w:val="07943000"/>
    <w:rsid w:val="07F51FA3"/>
    <w:rsid w:val="0833037C"/>
    <w:rsid w:val="08AA23AF"/>
    <w:rsid w:val="08C90A87"/>
    <w:rsid w:val="0A777321"/>
    <w:rsid w:val="0AFA5870"/>
    <w:rsid w:val="0B220922"/>
    <w:rsid w:val="0B980BE5"/>
    <w:rsid w:val="0C4F5747"/>
    <w:rsid w:val="0CAD6100"/>
    <w:rsid w:val="0D4032E2"/>
    <w:rsid w:val="0D7A4A46"/>
    <w:rsid w:val="0D906017"/>
    <w:rsid w:val="1025513D"/>
    <w:rsid w:val="10B822AE"/>
    <w:rsid w:val="10D54B50"/>
    <w:rsid w:val="114E06C3"/>
    <w:rsid w:val="115505F4"/>
    <w:rsid w:val="11665A0D"/>
    <w:rsid w:val="123355F5"/>
    <w:rsid w:val="129465AA"/>
    <w:rsid w:val="13A74772"/>
    <w:rsid w:val="14D94748"/>
    <w:rsid w:val="15CA4090"/>
    <w:rsid w:val="164E7EC0"/>
    <w:rsid w:val="16C3745D"/>
    <w:rsid w:val="170B604B"/>
    <w:rsid w:val="17FE0893"/>
    <w:rsid w:val="19B66E06"/>
    <w:rsid w:val="19C239FC"/>
    <w:rsid w:val="1A0A7151"/>
    <w:rsid w:val="1A3E7845"/>
    <w:rsid w:val="1E2B0F27"/>
    <w:rsid w:val="1F925B55"/>
    <w:rsid w:val="1FB5156C"/>
    <w:rsid w:val="1FC23961"/>
    <w:rsid w:val="201C198C"/>
    <w:rsid w:val="20C25562"/>
    <w:rsid w:val="219D08AB"/>
    <w:rsid w:val="22157887"/>
    <w:rsid w:val="22FF3808"/>
    <w:rsid w:val="23737B15"/>
    <w:rsid w:val="24FC71F0"/>
    <w:rsid w:val="25787665"/>
    <w:rsid w:val="25C14AF9"/>
    <w:rsid w:val="260853DA"/>
    <w:rsid w:val="26121868"/>
    <w:rsid w:val="27213728"/>
    <w:rsid w:val="27962024"/>
    <w:rsid w:val="27B01338"/>
    <w:rsid w:val="27DD4DE5"/>
    <w:rsid w:val="281178FD"/>
    <w:rsid w:val="2AAA4765"/>
    <w:rsid w:val="2AC5334C"/>
    <w:rsid w:val="2B7B3A0B"/>
    <w:rsid w:val="2B88437A"/>
    <w:rsid w:val="2C821986"/>
    <w:rsid w:val="2D43252E"/>
    <w:rsid w:val="2D9FBCBD"/>
    <w:rsid w:val="2DD45655"/>
    <w:rsid w:val="2E0E0160"/>
    <w:rsid w:val="2EBE7115"/>
    <w:rsid w:val="2ED3DF96"/>
    <w:rsid w:val="2EE144CD"/>
    <w:rsid w:val="2F6F4604"/>
    <w:rsid w:val="2FDE27BA"/>
    <w:rsid w:val="30534F57"/>
    <w:rsid w:val="305B02AF"/>
    <w:rsid w:val="30BC0D4E"/>
    <w:rsid w:val="31325BDD"/>
    <w:rsid w:val="31A55C86"/>
    <w:rsid w:val="32026C34"/>
    <w:rsid w:val="3304078A"/>
    <w:rsid w:val="335C6286"/>
    <w:rsid w:val="34A73AC3"/>
    <w:rsid w:val="357A4D33"/>
    <w:rsid w:val="37CD3840"/>
    <w:rsid w:val="3821593A"/>
    <w:rsid w:val="38521F98"/>
    <w:rsid w:val="39F01A68"/>
    <w:rsid w:val="3A274B74"/>
    <w:rsid w:val="3A5C534F"/>
    <w:rsid w:val="3B497682"/>
    <w:rsid w:val="3B5B1163"/>
    <w:rsid w:val="3B620744"/>
    <w:rsid w:val="3CD8637B"/>
    <w:rsid w:val="3D2F4655"/>
    <w:rsid w:val="3D546FC1"/>
    <w:rsid w:val="3D842BF3"/>
    <w:rsid w:val="3E155F41"/>
    <w:rsid w:val="3E682515"/>
    <w:rsid w:val="3EB72275"/>
    <w:rsid w:val="3EC3774B"/>
    <w:rsid w:val="3EE31B9B"/>
    <w:rsid w:val="3EE71313"/>
    <w:rsid w:val="3F68157E"/>
    <w:rsid w:val="3FEF169F"/>
    <w:rsid w:val="40EB2F89"/>
    <w:rsid w:val="414E7C36"/>
    <w:rsid w:val="417E5BAB"/>
    <w:rsid w:val="41F1637D"/>
    <w:rsid w:val="41FB36A0"/>
    <w:rsid w:val="43122A4F"/>
    <w:rsid w:val="43522A16"/>
    <w:rsid w:val="441D78FE"/>
    <w:rsid w:val="447C0AC8"/>
    <w:rsid w:val="44BA514C"/>
    <w:rsid w:val="44D02BC2"/>
    <w:rsid w:val="44D2693A"/>
    <w:rsid w:val="44E421C9"/>
    <w:rsid w:val="45014B29"/>
    <w:rsid w:val="45141308"/>
    <w:rsid w:val="452847AC"/>
    <w:rsid w:val="45BE6EBE"/>
    <w:rsid w:val="4A2F7911"/>
    <w:rsid w:val="4A6D55B3"/>
    <w:rsid w:val="4A6F2116"/>
    <w:rsid w:val="4B1B2ECF"/>
    <w:rsid w:val="4B7A4466"/>
    <w:rsid w:val="4B993318"/>
    <w:rsid w:val="4B9A1834"/>
    <w:rsid w:val="4BE62B89"/>
    <w:rsid w:val="4CCB3F95"/>
    <w:rsid w:val="4E723BAD"/>
    <w:rsid w:val="4EC07803"/>
    <w:rsid w:val="4F5B577E"/>
    <w:rsid w:val="4FA9387A"/>
    <w:rsid w:val="519F5DF6"/>
    <w:rsid w:val="523E50CC"/>
    <w:rsid w:val="526861E8"/>
    <w:rsid w:val="52737264"/>
    <w:rsid w:val="52E42E1E"/>
    <w:rsid w:val="537423D1"/>
    <w:rsid w:val="5449382B"/>
    <w:rsid w:val="557468AB"/>
    <w:rsid w:val="562D263B"/>
    <w:rsid w:val="567673B8"/>
    <w:rsid w:val="569D1CF6"/>
    <w:rsid w:val="582C0159"/>
    <w:rsid w:val="58DF11CE"/>
    <w:rsid w:val="591075D9"/>
    <w:rsid w:val="5A3C5119"/>
    <w:rsid w:val="5A5C06B9"/>
    <w:rsid w:val="5A896A83"/>
    <w:rsid w:val="5B262DEE"/>
    <w:rsid w:val="5B6B0AF7"/>
    <w:rsid w:val="5BEA4348"/>
    <w:rsid w:val="5C6B34A4"/>
    <w:rsid w:val="5C6F4617"/>
    <w:rsid w:val="5D284EF1"/>
    <w:rsid w:val="5D5F468B"/>
    <w:rsid w:val="5DB70023"/>
    <w:rsid w:val="5EDC2437"/>
    <w:rsid w:val="5F261904"/>
    <w:rsid w:val="5F2970BE"/>
    <w:rsid w:val="5F3FFDEB"/>
    <w:rsid w:val="5F8D0945"/>
    <w:rsid w:val="5FCC24AC"/>
    <w:rsid w:val="5FF78DAD"/>
    <w:rsid w:val="5FF87150"/>
    <w:rsid w:val="5FF92B75"/>
    <w:rsid w:val="61760322"/>
    <w:rsid w:val="61994610"/>
    <w:rsid w:val="631F6D97"/>
    <w:rsid w:val="63422A85"/>
    <w:rsid w:val="638F7C65"/>
    <w:rsid w:val="64DB4F3F"/>
    <w:rsid w:val="653308D7"/>
    <w:rsid w:val="65622F6B"/>
    <w:rsid w:val="65B86875"/>
    <w:rsid w:val="66666A8A"/>
    <w:rsid w:val="667940D4"/>
    <w:rsid w:val="66C814F3"/>
    <w:rsid w:val="674212A6"/>
    <w:rsid w:val="691722BE"/>
    <w:rsid w:val="69786F9E"/>
    <w:rsid w:val="6A611A43"/>
    <w:rsid w:val="6B202B14"/>
    <w:rsid w:val="6B820C26"/>
    <w:rsid w:val="6BF7736A"/>
    <w:rsid w:val="6D7F4B2B"/>
    <w:rsid w:val="6D837F22"/>
    <w:rsid w:val="6DAB01FE"/>
    <w:rsid w:val="6DB93944"/>
    <w:rsid w:val="6DBB76BC"/>
    <w:rsid w:val="6E0E0EB5"/>
    <w:rsid w:val="6E11552E"/>
    <w:rsid w:val="6F9B4D7A"/>
    <w:rsid w:val="707D6EAA"/>
    <w:rsid w:val="70A95EF1"/>
    <w:rsid w:val="719D783B"/>
    <w:rsid w:val="71A5490B"/>
    <w:rsid w:val="71C50B09"/>
    <w:rsid w:val="72362359"/>
    <w:rsid w:val="72730565"/>
    <w:rsid w:val="72F82E81"/>
    <w:rsid w:val="73F96D80"/>
    <w:rsid w:val="7499627D"/>
    <w:rsid w:val="754E350B"/>
    <w:rsid w:val="777D880D"/>
    <w:rsid w:val="77822587"/>
    <w:rsid w:val="77BD2134"/>
    <w:rsid w:val="77E85551"/>
    <w:rsid w:val="785901FD"/>
    <w:rsid w:val="789C633C"/>
    <w:rsid w:val="792C5912"/>
    <w:rsid w:val="7A9F5A52"/>
    <w:rsid w:val="7BB21E9A"/>
    <w:rsid w:val="7C305719"/>
    <w:rsid w:val="7C43369E"/>
    <w:rsid w:val="7C703D67"/>
    <w:rsid w:val="7CD12A58"/>
    <w:rsid w:val="7E5E656D"/>
    <w:rsid w:val="7E81400A"/>
    <w:rsid w:val="7ED74A27"/>
    <w:rsid w:val="7F1503B1"/>
    <w:rsid w:val="7F7DB4E2"/>
    <w:rsid w:val="7F811112"/>
    <w:rsid w:val="977C119A"/>
    <w:rsid w:val="ABFC052C"/>
    <w:rsid w:val="BDEE7DFA"/>
    <w:rsid w:val="BDFF6366"/>
    <w:rsid w:val="DEBFCD79"/>
    <w:rsid w:val="DEF52CA8"/>
    <w:rsid w:val="DFAFCAF6"/>
    <w:rsid w:val="DFE1E8CC"/>
    <w:rsid w:val="E1BF5944"/>
    <w:rsid w:val="F4BF442D"/>
    <w:rsid w:val="F5DFA1EC"/>
    <w:rsid w:val="F7B91432"/>
    <w:rsid w:val="F99E39AA"/>
    <w:rsid w:val="F9DB7D04"/>
    <w:rsid w:val="FDB78E17"/>
    <w:rsid w:val="FE7B6CAC"/>
    <w:rsid w:val="FF9FCE1C"/>
    <w:rsid w:val="FFDDAEB9"/>
    <w:rsid w:val="FFD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after="150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unhideWhenUsed/>
    <w:qFormat/>
    <w:uiPriority w:val="99"/>
    <w:rPr>
      <w:color w:val="800000"/>
      <w:u w:val="none"/>
    </w:rPr>
  </w:style>
  <w:style w:type="character" w:styleId="12">
    <w:name w:val="HTML Definition"/>
    <w:basedOn w:val="9"/>
    <w:autoRedefine/>
    <w:unhideWhenUsed/>
    <w:qFormat/>
    <w:uiPriority w:val="99"/>
    <w:rPr>
      <w:i/>
    </w:rPr>
  </w:style>
  <w:style w:type="character" w:styleId="13">
    <w:name w:val="Hyperlink"/>
    <w:basedOn w:val="9"/>
    <w:autoRedefine/>
    <w:unhideWhenUsed/>
    <w:qFormat/>
    <w:uiPriority w:val="99"/>
    <w:rPr>
      <w:color w:val="800000"/>
      <w:u w:val="none"/>
    </w:rPr>
  </w:style>
  <w:style w:type="character" w:styleId="14">
    <w:name w:val="HTML Code"/>
    <w:basedOn w:val="9"/>
    <w:autoRedefine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styleId="16">
    <w:name w:val="HTML Keyboard"/>
    <w:basedOn w:val="9"/>
    <w:autoRedefine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autoRedefine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21">
    <w:name w:val="more_sit"/>
    <w:basedOn w:val="9"/>
    <w:autoRedefine/>
    <w:qFormat/>
    <w:uiPriority w:val="0"/>
  </w:style>
  <w:style w:type="character" w:customStyle="1" w:styleId="22">
    <w:name w:val="mod_ttile"/>
    <w:basedOn w:val="9"/>
    <w:autoRedefine/>
    <w:qFormat/>
    <w:uiPriority w:val="0"/>
  </w:style>
  <w:style w:type="character" w:customStyle="1" w:styleId="23">
    <w:name w:val="apple-converted-space"/>
    <w:basedOn w:val="9"/>
    <w:autoRedefine/>
    <w:qFormat/>
    <w:uiPriority w:val="0"/>
  </w:style>
  <w:style w:type="character" w:customStyle="1" w:styleId="24">
    <w:name w:val="pubdate-month"/>
    <w:basedOn w:val="9"/>
    <w:autoRedefine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5">
    <w:name w:val="news_tit_cn"/>
    <w:basedOn w:val="9"/>
    <w:autoRedefine/>
    <w:qFormat/>
    <w:uiPriority w:val="0"/>
    <w:rPr>
      <w:color w:val="800000"/>
      <w:sz w:val="27"/>
      <w:szCs w:val="27"/>
    </w:rPr>
  </w:style>
  <w:style w:type="character" w:customStyle="1" w:styleId="26">
    <w:name w:val="links-name2"/>
    <w:basedOn w:val="9"/>
    <w:autoRedefine/>
    <w:qFormat/>
    <w:uiPriority w:val="0"/>
    <w:rPr>
      <w:color w:val="000000"/>
    </w:rPr>
  </w:style>
  <w:style w:type="character" w:customStyle="1" w:styleId="27">
    <w:name w:val="addr"/>
    <w:basedOn w:val="9"/>
    <w:autoRedefine/>
    <w:qFormat/>
    <w:uiPriority w:val="0"/>
  </w:style>
  <w:style w:type="character" w:customStyle="1" w:styleId="28">
    <w:name w:val="item-name1"/>
    <w:basedOn w:val="9"/>
    <w:autoRedefine/>
    <w:qFormat/>
    <w:uiPriority w:val="0"/>
  </w:style>
  <w:style w:type="character" w:customStyle="1" w:styleId="29">
    <w:name w:val="item-name"/>
    <w:basedOn w:val="9"/>
    <w:autoRedefine/>
    <w:qFormat/>
    <w:uiPriority w:val="0"/>
  </w:style>
  <w:style w:type="character" w:customStyle="1" w:styleId="30">
    <w:name w:val="pubdate-day"/>
    <w:basedOn w:val="9"/>
    <w:autoRedefine/>
    <w:qFormat/>
    <w:uiPriority w:val="0"/>
    <w:rPr>
      <w:shd w:val="clear" w:color="auto" w:fill="F2F2F2"/>
    </w:rPr>
  </w:style>
  <w:style w:type="paragraph" w:customStyle="1" w:styleId="31">
    <w:name w:val="列出段落1"/>
    <w:basedOn w:val="1"/>
    <w:autoRedefine/>
    <w:qFormat/>
    <w:uiPriority w:val="34"/>
    <w:pPr>
      <w:ind w:firstLine="420" w:firstLineChars="200"/>
    </w:pPr>
  </w:style>
  <w:style w:type="paragraph" w:styleId="32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1505</Words>
  <Characters>1666</Characters>
  <Lines>35</Lines>
  <Paragraphs>10</Paragraphs>
  <TotalTime>0</TotalTime>
  <ScaleCrop>false</ScaleCrop>
  <LinksUpToDate>false</LinksUpToDate>
  <CharactersWithSpaces>1671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2020-03-18T10:38:00Z</dcterms:created>
  <dc:creator>HP</dc:creator>
  <cp:lastModifiedBy>林喆</cp:lastModifiedBy>
  <cp:lastPrinted>2017-03-08T07:01:00Z</cp:lastPrinted>
  <dcterms:modified xsi:type="dcterms:W3CDTF">2025-09-19T07:14:34Z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D39669519FFB4A0887C5EB44AEF6D326_13</vt:lpwstr>
  </property>
  <property fmtid="{D5CDD505-2E9C-101B-9397-08002B2CF9AE}" pid="4" name="KSOTemplateDocerSaveRecord">
    <vt:lpwstr>eyJoZGlkIjoiMzZiMTA4ZjU1YTc2OTQ4NjIzMDVlMGQ4MmNmZWU1NzYiLCJ1c2VySWQiOiIxNjM5NDQ1MTEwIn0=</vt:lpwstr>
  </property>
</Properties>
</file>