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为培养造就具有国际视野的法治人才</w:t>
      </w:r>
      <w:r>
        <w:rPr>
          <w:rFonts w:hint="eastAsia" w:ascii="Arial" w:hAnsi="Arial" w:eastAsia="宋体" w:cs="Arial"/>
          <w:color w:val="000000"/>
          <w:kern w:val="0"/>
          <w:sz w:val="24"/>
          <w:szCs w:val="24"/>
        </w:rPr>
        <w:t>、</w:t>
      </w:r>
      <w:r>
        <w:rPr>
          <w:rFonts w:ascii="Arial" w:hAnsi="Arial" w:eastAsia="宋体" w:cs="Arial"/>
          <w:color w:val="000000"/>
          <w:kern w:val="0"/>
          <w:sz w:val="24"/>
          <w:szCs w:val="24"/>
        </w:rPr>
        <w:t>规范我院学生出国（境）交流的遴选工作，保证我院在校生出国（境）项目的选派工作公平、公开、公正地进行，结合我院实际情况，特制</w:t>
      </w:r>
      <w:r>
        <w:rPr>
          <w:rFonts w:hint="eastAsia" w:ascii="Arial" w:hAnsi="Arial" w:eastAsia="宋体" w:cs="Arial"/>
          <w:color w:val="000000"/>
          <w:kern w:val="0"/>
          <w:sz w:val="24"/>
          <w:szCs w:val="24"/>
        </w:rPr>
        <w:t>定</w:t>
      </w:r>
      <w:r>
        <w:rPr>
          <w:rFonts w:ascii="Arial" w:hAnsi="Arial" w:eastAsia="宋体" w:cs="Arial"/>
          <w:color w:val="000000"/>
          <w:kern w:val="0"/>
          <w:sz w:val="24"/>
          <w:szCs w:val="24"/>
        </w:rPr>
        <w:t>本遴选办法。</w:t>
      </w:r>
    </w:p>
    <w:p>
      <w:pPr>
        <w:widowControl/>
        <w:shd w:val="clear" w:color="auto" w:fill="FFFFFF"/>
        <w:spacing w:line="300" w:lineRule="auto"/>
        <w:ind w:firstLine="480" w:firstLineChars="200"/>
        <w:rPr>
          <w:rFonts w:ascii="Arial" w:hAnsi="Arial" w:eastAsia="宋体" w:cs="Arial"/>
          <w:b/>
          <w:color w:val="000000"/>
          <w:kern w:val="0"/>
          <w:sz w:val="24"/>
          <w:szCs w:val="24"/>
        </w:rPr>
      </w:pPr>
      <w:r>
        <w:rPr>
          <w:rFonts w:hint="eastAsia" w:ascii="Arial" w:hAnsi="Arial" w:eastAsia="宋体" w:cs="Arial"/>
          <w:b/>
          <w:color w:val="000000"/>
          <w:kern w:val="0"/>
          <w:sz w:val="24"/>
          <w:szCs w:val="24"/>
        </w:rPr>
        <w:t>一、基本要求</w:t>
      </w:r>
    </w:p>
    <w:p>
      <w:pPr>
        <w:widowControl/>
        <w:shd w:val="clear" w:color="auto" w:fill="FFFFFF"/>
        <w:spacing w:line="300" w:lineRule="auto"/>
        <w:ind w:firstLine="480" w:firstLineChars="200"/>
        <w:rPr>
          <w:rFonts w:ascii="Arial" w:hAnsi="Arial" w:eastAsia="宋体" w:cs="Arial"/>
          <w:color w:val="000000"/>
          <w:kern w:val="0"/>
          <w:sz w:val="24"/>
          <w:szCs w:val="24"/>
        </w:rPr>
      </w:pPr>
      <w:r>
        <w:rPr>
          <w:rFonts w:hint="eastAsia" w:ascii="Arial" w:hAnsi="Arial" w:eastAsia="宋体" w:cs="Arial"/>
          <w:color w:val="000000"/>
          <w:kern w:val="0"/>
          <w:sz w:val="24"/>
          <w:szCs w:val="24"/>
        </w:rPr>
        <w:t>全体本科生应积极参加出国（境）交流项目，完成培养方案国际化模块以及第四课堂学分认定方可进入毕业环节；</w:t>
      </w:r>
      <w:r>
        <w:rPr>
          <w:rFonts w:hint="eastAsia"/>
          <w:sz w:val="24"/>
          <w:szCs w:val="24"/>
        </w:rPr>
        <w:t>自2021年秋季入学的博士研究生开始，全日制博士生在读期间须至少参加一次出国（境）学术交流活动（含特殊时期开展的线上交流项目），方可进入毕业环节。研究生应积极参加出国（境）交流项目，参加全英文交流项目累计时长达32学时及以上，可作为法律英语课程免听的申请条件。</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如学校差额推荐式的短期出国（境）交流项目中有更高外语水平要求则按照学校标准。特殊时期，申请校院二级开展的线上交流项目外语水平标准与申请线下交流项目相同。</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一）短学期出国（境）交流项目（含线上交流项目）和长学期出国（境外）交流项目、学位项目由学院组成评审委员会，根据申报学生的综合素质确定最终入选人员名单，同等条件下，未参与过交流项目的同学优先。</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w:t>
      </w:r>
      <w:r>
        <w:rPr>
          <w:rFonts w:hint="eastAsia" w:ascii="Arial" w:hAnsi="Arial" w:eastAsia="宋体" w:cs="Arial"/>
          <w:color w:val="000000"/>
          <w:kern w:val="0"/>
          <w:sz w:val="24"/>
          <w:szCs w:val="24"/>
        </w:rPr>
        <w:t>二</w:t>
      </w: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（含在线交流项目）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三</w:t>
      </w: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由学院评审委员会，综合评审确定推荐名单及排序</w:t>
      </w: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 +遴选委员会评审成绩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法律硕士（非法学）=在校期间学习成绩加权平均分+科研成绩×20%</w:t>
      </w:r>
      <w:r>
        <w:rPr>
          <w:rFonts w:hint="eastAsia" w:ascii="Arial" w:hAnsi="Arial" w:eastAsia="宋体" w:cs="Arial"/>
          <w:color w:val="000000"/>
          <w:kern w:val="0"/>
          <w:sz w:val="24"/>
          <w:szCs w:val="24"/>
        </w:rPr>
        <w:t>+</w:t>
      </w:r>
      <w:r>
        <w:rPr>
          <w:rFonts w:ascii="Arial" w:hAnsi="Arial" w:eastAsia="宋体" w:cs="Arial"/>
          <w:color w:val="000000"/>
          <w:kern w:val="0"/>
          <w:sz w:val="24"/>
          <w:szCs w:val="24"/>
        </w:rPr>
        <w:t>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w:t>
      </w:r>
      <w:r>
        <w:rPr>
          <w:rFonts w:hint="eastAsia" w:ascii="宋体" w:hAnsi="宋体" w:cs="宋体"/>
          <w:kern w:val="0"/>
          <w:sz w:val="24"/>
        </w:rPr>
        <w:t>科研成绩和综合素质成绩量分办法与每学年同期有效的《光华法学院研究生评奖评优细则》保持一致。</w:t>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hint="eastAsia" w:ascii="Arial" w:hAnsi="Arial" w:eastAsia="宋体" w:cs="Arial"/>
          <w:color w:val="000000"/>
          <w:kern w:val="0"/>
          <w:sz w:val="24"/>
          <w:szCs w:val="24"/>
          <w:highlight w:val="none"/>
        </w:rPr>
        <w:t>遴选委员会评审成绩由两部分构成：学校排名、学科声誉、导师声望占</w:t>
      </w:r>
      <w:r>
        <w:rPr>
          <w:rFonts w:hint="eastAsia" w:ascii="Arial" w:hAnsi="Arial" w:eastAsia="宋体" w:cs="Arial"/>
          <w:color w:val="000000"/>
          <w:kern w:val="0"/>
          <w:sz w:val="24"/>
          <w:szCs w:val="24"/>
        </w:rPr>
        <w:t>40</w:t>
      </w:r>
      <w:r>
        <w:rPr>
          <w:rFonts w:hint="eastAsia" w:ascii="Arial" w:hAnsi="Arial" w:eastAsia="宋体" w:cs="Arial"/>
          <w:color w:val="000000"/>
          <w:kern w:val="0"/>
          <w:sz w:val="24"/>
          <w:szCs w:val="24"/>
          <w:highlight w:val="none"/>
        </w:rPr>
        <w:t>分；学习计划陈述以及现场答辩综合表现占</w:t>
      </w:r>
      <w:r>
        <w:rPr>
          <w:rFonts w:hint="eastAsia" w:ascii="Arial" w:hAnsi="Arial" w:eastAsia="宋体" w:cs="Arial"/>
          <w:color w:val="000000"/>
          <w:kern w:val="0"/>
          <w:sz w:val="24"/>
          <w:szCs w:val="24"/>
        </w:rPr>
        <w:t>60</w:t>
      </w:r>
      <w:r>
        <w:rPr>
          <w:rFonts w:hint="eastAsia" w:ascii="Arial" w:hAnsi="Arial" w:eastAsia="宋体" w:cs="Arial"/>
          <w:color w:val="000000"/>
          <w:kern w:val="0"/>
          <w:sz w:val="24"/>
          <w:szCs w:val="24"/>
          <w:highlight w:val="none"/>
        </w:rPr>
        <w:t>分</w:t>
      </w:r>
      <w:r>
        <w:rPr>
          <w:rFonts w:hint="eastAsia" w:ascii="Arial" w:hAnsi="Arial" w:eastAsia="宋体" w:cs="Arial"/>
          <w:color w:val="000000"/>
          <w:kern w:val="0"/>
          <w:sz w:val="24"/>
          <w:szCs w:val="24"/>
        </w:rPr>
        <w:t>，总分100分</w:t>
      </w:r>
      <w:r>
        <w:rPr>
          <w:rFonts w:hint="eastAsia" w:ascii="Arial" w:hAnsi="Arial" w:eastAsia="宋体" w:cs="Arial"/>
          <w:color w:val="000000"/>
          <w:kern w:val="0"/>
          <w:sz w:val="24"/>
          <w:szCs w:val="24"/>
          <w:highlight w:val="none"/>
        </w:rPr>
        <w:t>。</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ind w:firstLine="480" w:firstLineChars="200"/>
        <w:jc w:val="left"/>
        <w:outlineLvl w:val="1"/>
        <w:rPr>
          <w:rFonts w:ascii="Arial" w:hAnsi="Arial" w:eastAsia="宋体" w:cs="Arial"/>
          <w:b/>
          <w:bCs/>
          <w:color w:val="000000"/>
          <w:kern w:val="0"/>
          <w:sz w:val="30"/>
          <w:szCs w:val="30"/>
        </w:rPr>
      </w:pPr>
      <w:r>
        <w:rPr>
          <w:rFonts w:ascii="Arial" w:hAnsi="Arial" w:eastAsia="宋体" w:cs="Arial"/>
          <w:color w:val="000000"/>
          <w:kern w:val="0"/>
          <w:sz w:val="24"/>
          <w:szCs w:val="24"/>
        </w:rPr>
        <w:t>本办法自公布之日起施行，由光华法学院党政联席会议负责解</w:t>
      </w:r>
      <w:r>
        <w:rPr>
          <w:rFonts w:ascii="Arial" w:hAnsi="Arial" w:eastAsia="宋体" w:cs="Arial"/>
          <w:color w:val="000000"/>
          <w:kern w:val="0"/>
          <w:sz w:val="24"/>
          <w:szCs w:val="24"/>
          <w:highlight w:val="none"/>
        </w:rPr>
        <w:t>释，</w:t>
      </w:r>
      <w:r>
        <w:rPr>
          <w:rFonts w:hint="eastAsia" w:ascii="Arial" w:hAnsi="Arial" w:eastAsia="宋体" w:cs="Arial"/>
          <w:color w:val="000000"/>
          <w:kern w:val="0"/>
          <w:sz w:val="24"/>
          <w:szCs w:val="24"/>
          <w:highlight w:val="none"/>
        </w:rPr>
        <w:t>原2020年9月22日发布的《</w:t>
      </w:r>
      <w:r>
        <w:rPr>
          <w:rFonts w:ascii="Arial" w:hAnsi="Arial" w:eastAsia="宋体" w:cs="Arial"/>
          <w:color w:val="000000"/>
          <w:kern w:val="0"/>
          <w:sz w:val="24"/>
          <w:szCs w:val="24"/>
          <w:highlight w:val="none"/>
        </w:rPr>
        <w:t>光华法学院出国（境）交流项目</w:t>
      </w:r>
      <w:r>
        <w:rPr>
          <w:rFonts w:hint="eastAsia" w:ascii="Arial" w:hAnsi="Arial" w:eastAsia="宋体" w:cs="Arial"/>
          <w:color w:val="000000"/>
          <w:kern w:val="0"/>
          <w:sz w:val="24"/>
          <w:szCs w:val="24"/>
          <w:highlight w:val="none"/>
        </w:rPr>
        <w:t>学生</w:t>
      </w:r>
      <w:r>
        <w:rPr>
          <w:rFonts w:ascii="Arial" w:hAnsi="Arial" w:eastAsia="宋体" w:cs="Arial"/>
          <w:color w:val="000000"/>
          <w:kern w:val="0"/>
          <w:sz w:val="24"/>
          <w:szCs w:val="24"/>
          <w:highlight w:val="none"/>
        </w:rPr>
        <w:t>遴选办法</w:t>
      </w:r>
      <w:r>
        <w:rPr>
          <w:rFonts w:hint="eastAsia" w:ascii="Arial" w:hAnsi="Arial" w:eastAsia="宋体" w:cs="Arial"/>
          <w:color w:val="000000"/>
          <w:kern w:val="0"/>
          <w:sz w:val="24"/>
          <w:szCs w:val="24"/>
          <w:highlight w:val="none"/>
        </w:rPr>
        <w:t>》</w:t>
      </w:r>
      <w:r>
        <w:rPr>
          <w:rFonts w:hint="eastAsia" w:ascii="Arial" w:hAnsi="Arial" w:eastAsia="宋体" w:cs="Arial"/>
          <w:color w:val="000000"/>
          <w:kern w:val="0"/>
          <w:sz w:val="24"/>
          <w:szCs w:val="24"/>
        </w:rPr>
        <w:t>同时废止。</w:t>
      </w:r>
    </w:p>
    <w:p>
      <w:pPr>
        <w:widowControl/>
        <w:spacing w:line="360" w:lineRule="auto"/>
        <w:ind w:firstLine="480" w:firstLineChars="200"/>
        <w:rPr>
          <w:rFonts w:ascii="宋体" w:hAnsi="宋体" w:cs="宋体"/>
          <w:b/>
          <w:kern w:val="0"/>
          <w:sz w:val="24"/>
        </w:rPr>
      </w:pPr>
      <w:r>
        <w:rPr>
          <w:rFonts w:hint="eastAsia" w:ascii="Arial" w:hAnsi="Arial" w:eastAsia="宋体" w:cs="Arial"/>
          <w:b/>
          <w:color w:val="000000"/>
          <w:kern w:val="0"/>
          <w:sz w:val="24"/>
          <w:szCs w:val="24"/>
        </w:rPr>
        <w:t>附：科研成绩、综合成绩</w:t>
      </w:r>
      <w:r>
        <w:rPr>
          <w:rFonts w:ascii="宋体" w:hAnsi="宋体" w:cs="宋体"/>
          <w:b/>
          <w:kern w:val="0"/>
          <w:sz w:val="24"/>
        </w:rPr>
        <w:t>具体量分办法（</w:t>
      </w:r>
      <w:r>
        <w:rPr>
          <w:rFonts w:hint="eastAsia" w:ascii="宋体" w:hAnsi="宋体" w:cs="宋体"/>
          <w:b/>
          <w:kern w:val="0"/>
          <w:sz w:val="24"/>
        </w:rPr>
        <w:t>每学年按有效的学院研究生评奖评优细则的节选</w:t>
      </w:r>
      <w:r>
        <w:rPr>
          <w:rFonts w:ascii="宋体" w:hAnsi="宋体" w:cs="宋体"/>
          <w:b/>
          <w:kern w:val="0"/>
          <w:sz w:val="24"/>
        </w:rPr>
        <w:t>）</w:t>
      </w:r>
      <w:r>
        <w:rPr>
          <w:rFonts w:ascii="宋体" w:hAnsi="宋体" w:cs="宋体"/>
          <w:b/>
          <w:kern w:val="0"/>
          <w:sz w:val="24"/>
        </w:rPr>
        <w:t>。</w:t>
      </w:r>
    </w:p>
    <w:p>
      <w:pPr>
        <w:widowControl/>
        <w:spacing w:line="360" w:lineRule="auto"/>
        <w:ind w:firstLine="480" w:firstLineChars="200"/>
        <w:rPr>
          <w:rFonts w:hint="default" w:ascii="宋体" w:hAnsi="宋体" w:cs="宋体"/>
          <w:b/>
          <w:kern w:val="0"/>
          <w:sz w:val="24"/>
        </w:rPr>
      </w:pPr>
      <w:bookmarkStart w:id="0" w:name="_GoBack"/>
      <w:bookmarkEnd w:id="0"/>
    </w:p>
    <w:p>
      <w:pPr>
        <w:widowControl/>
        <w:shd w:val="clear" w:color="auto" w:fill="FFFFFF"/>
        <w:spacing w:line="360" w:lineRule="auto"/>
        <w:ind w:firstLine="480"/>
        <w:jc w:val="right"/>
        <w:rPr>
          <w:rFonts w:ascii="Arial" w:hAnsi="Arial" w:eastAsia="宋体" w:cs="Arial"/>
          <w:color w:val="000000"/>
          <w:kern w:val="0"/>
          <w:sz w:val="24"/>
          <w:szCs w:val="24"/>
        </w:rPr>
      </w:pPr>
      <w:r>
        <w:rPr>
          <w:rFonts w:ascii="Arial" w:hAnsi="Arial" w:eastAsia="宋体" w:cs="Arial"/>
          <w:color w:val="000000"/>
          <w:kern w:val="0"/>
          <w:sz w:val="24"/>
          <w:szCs w:val="24"/>
        </w:rPr>
        <w:t>浙江大学光华法学院</w:t>
      </w:r>
    </w:p>
    <w:p>
      <w:pPr>
        <w:widowControl/>
        <w:shd w:val="clear" w:color="auto" w:fill="FFFFFF"/>
        <w:spacing w:line="360" w:lineRule="auto"/>
        <w:ind w:firstLine="480"/>
        <w:jc w:val="right"/>
        <w:rPr>
          <w:rFonts w:ascii="Arial" w:hAnsi="Arial" w:eastAsia="宋体" w:cs="Arial"/>
          <w:color w:val="000000"/>
          <w:kern w:val="0"/>
          <w:sz w:val="24"/>
          <w:szCs w:val="24"/>
        </w:rPr>
      </w:pPr>
      <w:r>
        <w:rPr>
          <w:rFonts w:ascii="Arial" w:hAnsi="Arial" w:eastAsia="宋体" w:cs="Arial"/>
          <w:color w:val="000000"/>
          <w:kern w:val="0"/>
          <w:sz w:val="24"/>
          <w:szCs w:val="24"/>
        </w:rPr>
        <w:t>2021年</w:t>
      </w:r>
      <w:r>
        <w:rPr>
          <w:rFonts w:hint="eastAsia" w:ascii="Arial" w:hAnsi="Arial" w:eastAsia="宋体" w:cs="Arial"/>
          <w:color w:val="000000"/>
          <w:kern w:val="0"/>
          <w:sz w:val="24"/>
          <w:szCs w:val="24"/>
        </w:rPr>
        <w:t>6</w:t>
      </w:r>
      <w:r>
        <w:rPr>
          <w:rFonts w:ascii="Arial" w:hAnsi="Arial" w:eastAsia="宋体" w:cs="Arial"/>
          <w:color w:val="000000"/>
          <w:kern w:val="0"/>
          <w:sz w:val="24"/>
          <w:szCs w:val="24"/>
        </w:rPr>
        <w:t>月</w:t>
      </w:r>
      <w:r>
        <w:rPr>
          <w:rFonts w:hint="eastAsia" w:ascii="Arial" w:hAnsi="Arial" w:eastAsia="宋体" w:cs="Arial"/>
          <w:color w:val="000000"/>
          <w:kern w:val="0"/>
          <w:sz w:val="24"/>
          <w:szCs w:val="24"/>
        </w:rPr>
        <w:t>15</w:t>
      </w:r>
      <w:r>
        <w:rPr>
          <w:rFonts w:ascii="Arial" w:hAnsi="Arial" w:eastAsia="宋体" w:cs="Arial"/>
          <w:color w:val="000000"/>
          <w:kern w:val="0"/>
          <w:sz w:val="24"/>
          <w:szCs w:val="24"/>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4199A"/>
    <w:rsid w:val="00085E7F"/>
    <w:rsid w:val="000C540B"/>
    <w:rsid w:val="000D67C6"/>
    <w:rsid w:val="00120842"/>
    <w:rsid w:val="00163079"/>
    <w:rsid w:val="00173425"/>
    <w:rsid w:val="001B35CB"/>
    <w:rsid w:val="00243F5A"/>
    <w:rsid w:val="002861F7"/>
    <w:rsid w:val="002B1C36"/>
    <w:rsid w:val="002D06E3"/>
    <w:rsid w:val="00345330"/>
    <w:rsid w:val="00425DD3"/>
    <w:rsid w:val="00471150"/>
    <w:rsid w:val="00492D3B"/>
    <w:rsid w:val="00492DAB"/>
    <w:rsid w:val="00496B93"/>
    <w:rsid w:val="004E7F2B"/>
    <w:rsid w:val="00512018"/>
    <w:rsid w:val="005126BB"/>
    <w:rsid w:val="005B5942"/>
    <w:rsid w:val="005C54E4"/>
    <w:rsid w:val="005E15D2"/>
    <w:rsid w:val="005E308A"/>
    <w:rsid w:val="005E40E4"/>
    <w:rsid w:val="005F2FEE"/>
    <w:rsid w:val="00626CB1"/>
    <w:rsid w:val="00663859"/>
    <w:rsid w:val="006A18D6"/>
    <w:rsid w:val="006D58AD"/>
    <w:rsid w:val="006D773D"/>
    <w:rsid w:val="00743901"/>
    <w:rsid w:val="00743B87"/>
    <w:rsid w:val="00775EB5"/>
    <w:rsid w:val="00790E63"/>
    <w:rsid w:val="007E42CB"/>
    <w:rsid w:val="008104DA"/>
    <w:rsid w:val="0083749D"/>
    <w:rsid w:val="00873E0E"/>
    <w:rsid w:val="00876928"/>
    <w:rsid w:val="00882DC7"/>
    <w:rsid w:val="009405DE"/>
    <w:rsid w:val="00A059E3"/>
    <w:rsid w:val="00A06CAF"/>
    <w:rsid w:val="00A825F5"/>
    <w:rsid w:val="00AC0317"/>
    <w:rsid w:val="00AC201F"/>
    <w:rsid w:val="00AF7F66"/>
    <w:rsid w:val="00B84476"/>
    <w:rsid w:val="00BA193C"/>
    <w:rsid w:val="00BB2082"/>
    <w:rsid w:val="00C51902"/>
    <w:rsid w:val="00C6302B"/>
    <w:rsid w:val="00C6369A"/>
    <w:rsid w:val="00C773C4"/>
    <w:rsid w:val="00CD0083"/>
    <w:rsid w:val="00D460BC"/>
    <w:rsid w:val="00D8426E"/>
    <w:rsid w:val="00E03040"/>
    <w:rsid w:val="00EA676D"/>
    <w:rsid w:val="00EB7BD2"/>
    <w:rsid w:val="00ED0E66"/>
    <w:rsid w:val="00F3768E"/>
    <w:rsid w:val="00FF2749"/>
    <w:rsid w:val="2BB65891"/>
    <w:rsid w:val="2E9F5675"/>
    <w:rsid w:val="70618BA1"/>
    <w:rsid w:val="75F07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2 Char"/>
    <w:basedOn w:val="10"/>
    <w:link w:val="2"/>
    <w:qFormat/>
    <w:uiPriority w:val="9"/>
    <w:rPr>
      <w:rFonts w:ascii="宋体" w:hAnsi="宋体" w:eastAsia="宋体" w:cs="宋体"/>
      <w:b/>
      <w:bCs/>
      <w:kern w:val="0"/>
      <w:sz w:val="24"/>
      <w:szCs w:val="24"/>
    </w:rPr>
  </w:style>
  <w:style w:type="character" w:customStyle="1" w:styleId="13">
    <w:name w:val="art_date"/>
    <w:basedOn w:val="10"/>
    <w:qFormat/>
    <w:uiPriority w:val="0"/>
    <w:rPr>
      <w:color w:val="626262"/>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2399</Words>
  <Characters>2486</Characters>
  <Lines>22</Lines>
  <Paragraphs>6</Paragraphs>
  <TotalTime>41</TotalTime>
  <ScaleCrop>false</ScaleCrop>
  <LinksUpToDate>false</LinksUpToDate>
  <CharactersWithSpaces>2599</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2020-09-25T17:53:00Z</dcterms:created>
  <dc:creator>微软用户</dc:creator>
  <cp:lastModifiedBy>是我呀四玺丸子</cp:lastModifiedBy>
  <dcterms:modified xsi:type="dcterms:W3CDTF">2024-04-12T22:44:05Z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BE66B26135A34C8692F797FEFDC337CB</vt:lpwstr>
  </property>
</Properties>
</file>