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15" w:lineRule="atLeast"/>
        <w:jc w:val="center"/>
        <w:rPr>
          <w:rFonts w:ascii="黑体" w:hAnsi="宋体" w:eastAsia="黑体" w:cs="宋体"/>
          <w:kern w:val="0"/>
          <w:szCs w:val="21"/>
        </w:rPr>
      </w:pPr>
      <w:r>
        <w:rPr>
          <w:rFonts w:ascii="黑体" w:hAnsi="宋体" w:eastAsia="黑体" w:cs="宋体"/>
          <w:kern w:val="0"/>
          <w:sz w:val="36"/>
          <w:szCs w:val="36"/>
        </w:rPr>
        <w:t>浙江大学光华法学院研究生评奖评优</w:t>
      </w:r>
      <w:r>
        <w:rPr>
          <w:rFonts w:hint="eastAsia" w:ascii="黑体" w:hAnsi="宋体" w:eastAsia="黑体" w:cs="宋体"/>
          <w:kern w:val="0"/>
          <w:sz w:val="36"/>
          <w:szCs w:val="36"/>
        </w:rPr>
        <w:t>实施细则</w:t>
      </w:r>
    </w:p>
    <w:p>
      <w:pPr>
        <w:widowControl/>
        <w:spacing w:before="100" w:beforeAutospacing="1" w:after="100" w:afterAutospacing="1" w:line="315" w:lineRule="atLeast"/>
        <w:jc w:val="center"/>
        <w:rPr>
          <w:rFonts w:ascii="黑体" w:hAnsi="宋体" w:eastAsia="黑体" w:cs="宋体"/>
          <w:kern w:val="0"/>
          <w:szCs w:val="21"/>
        </w:rPr>
      </w:pPr>
      <w:r>
        <w:rPr>
          <w:rFonts w:hint="eastAsia" w:ascii="黑体" w:hAnsi="宋体" w:eastAsia="黑体" w:cs="宋体"/>
          <w:kern w:val="0"/>
          <w:szCs w:val="21"/>
        </w:rPr>
        <w:t>（201</w:t>
      </w:r>
      <w:r>
        <w:rPr>
          <w:rFonts w:ascii="黑体" w:hAnsi="宋体" w:eastAsia="黑体" w:cs="宋体"/>
          <w:kern w:val="0"/>
          <w:szCs w:val="21"/>
        </w:rPr>
        <w:t>7</w:t>
      </w:r>
      <w:r>
        <w:rPr>
          <w:rFonts w:hint="eastAsia" w:ascii="黑体" w:hAnsi="宋体" w:eastAsia="黑体" w:cs="宋体"/>
          <w:kern w:val="0"/>
          <w:szCs w:val="21"/>
        </w:rPr>
        <w:t>年</w:t>
      </w:r>
      <w:r>
        <w:rPr>
          <w:rFonts w:ascii="黑体" w:hAnsi="宋体" w:eastAsia="黑体" w:cs="宋体"/>
          <w:kern w:val="0"/>
          <w:szCs w:val="21"/>
        </w:rPr>
        <w:t>10</w:t>
      </w:r>
      <w:r>
        <w:rPr>
          <w:rFonts w:hint="eastAsia" w:ascii="黑体" w:hAnsi="宋体" w:eastAsia="黑体" w:cs="宋体"/>
          <w:kern w:val="0"/>
          <w:szCs w:val="21"/>
        </w:rPr>
        <w:t>月修订稿</w:t>
      </w:r>
      <w:r>
        <w:rPr>
          <w:rFonts w:ascii="黑体" w:hAnsi="宋体" w:eastAsia="黑体" w:cs="宋体"/>
          <w:kern w:val="0"/>
          <w:szCs w:val="21"/>
        </w:rPr>
        <w:t>）</w:t>
      </w:r>
    </w:p>
    <w:p>
      <w:pPr>
        <w:widowControl/>
        <w:spacing w:line="360" w:lineRule="auto"/>
        <w:ind w:firstLine="480" w:firstLineChars="200"/>
        <w:rPr>
          <w:rFonts w:ascii="宋体" w:hAnsi="宋体" w:cs="宋体"/>
          <w:kern w:val="0"/>
          <w:szCs w:val="21"/>
        </w:rPr>
      </w:pPr>
      <w:r>
        <w:rPr>
          <w:rFonts w:ascii="宋体" w:hAnsi="宋体" w:cs="宋体"/>
          <w:kern w:val="0"/>
          <w:sz w:val="24"/>
        </w:rPr>
        <w:t>为了进一步改进和加强我院研究生思想政治教育，促进研究生学术研究水平的提高，规范我院研究生评奖评优工作，根据《</w:t>
      </w:r>
      <w:r>
        <w:rPr>
          <w:rFonts w:hint="eastAsia" w:ascii="宋体" w:hAnsi="宋体" w:cs="宋体"/>
          <w:kern w:val="0"/>
          <w:sz w:val="24"/>
        </w:rPr>
        <w:t>浙江大学优秀研究生评选和奖励办法</w:t>
      </w:r>
      <w:r>
        <w:rPr>
          <w:rFonts w:ascii="宋体" w:hAnsi="宋体" w:cs="宋体"/>
          <w:kern w:val="0"/>
          <w:sz w:val="24"/>
        </w:rPr>
        <w:t>》等相关文件的精神，结合本学院实际，</w:t>
      </w:r>
      <w:r>
        <w:rPr>
          <w:rFonts w:hint="eastAsia" w:ascii="宋体" w:hAnsi="宋体" w:cs="宋体"/>
          <w:kern w:val="0"/>
          <w:sz w:val="24"/>
        </w:rPr>
        <w:t>特</w:t>
      </w:r>
      <w:r>
        <w:rPr>
          <w:rFonts w:ascii="宋体" w:hAnsi="宋体" w:cs="宋体"/>
          <w:kern w:val="0"/>
          <w:sz w:val="24"/>
        </w:rPr>
        <w:t>制定</w:t>
      </w:r>
      <w:r>
        <w:rPr>
          <w:rFonts w:hint="eastAsia" w:ascii="宋体" w:hAnsi="宋体" w:cs="宋体"/>
          <w:kern w:val="0"/>
          <w:sz w:val="24"/>
        </w:rPr>
        <w:t>本实施细则。</w:t>
      </w:r>
    </w:p>
    <w:p>
      <w:pPr>
        <w:widowControl/>
        <w:spacing w:line="360" w:lineRule="auto"/>
        <w:jc w:val="center"/>
        <w:rPr>
          <w:rFonts w:ascii="宋体" w:hAnsi="宋体" w:cs="宋体"/>
          <w:b/>
          <w:bCs/>
          <w:kern w:val="0"/>
          <w:sz w:val="24"/>
        </w:rPr>
      </w:pPr>
    </w:p>
    <w:p>
      <w:pPr>
        <w:widowControl/>
        <w:spacing w:line="360" w:lineRule="auto"/>
        <w:jc w:val="center"/>
        <w:rPr>
          <w:rFonts w:ascii="宋体" w:hAnsi="宋体" w:cs="宋体"/>
          <w:b/>
          <w:bCs/>
          <w:kern w:val="0"/>
          <w:sz w:val="24"/>
        </w:rPr>
      </w:pPr>
      <w:r>
        <w:rPr>
          <w:rFonts w:ascii="宋体" w:hAnsi="宋体" w:cs="宋体"/>
          <w:b/>
          <w:bCs/>
          <w:kern w:val="0"/>
          <w:sz w:val="24"/>
        </w:rPr>
        <w:t>第一部分 </w:t>
      </w:r>
      <w:r>
        <w:rPr>
          <w:rFonts w:hint="eastAsia" w:ascii="宋体" w:hAnsi="宋体" w:cs="宋体"/>
          <w:b/>
          <w:bCs/>
          <w:kern w:val="0"/>
          <w:sz w:val="24"/>
        </w:rPr>
        <w:t>基本</w:t>
      </w:r>
      <w:r>
        <w:rPr>
          <w:rFonts w:ascii="宋体" w:hAnsi="宋体" w:cs="宋体"/>
          <w:b/>
          <w:bCs/>
          <w:kern w:val="0"/>
          <w:sz w:val="24"/>
        </w:rPr>
        <w:t>条件</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一、评选对象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各类奖学金（不包含国家</w:t>
      </w:r>
      <w:r>
        <w:rPr>
          <w:rFonts w:ascii="宋体" w:hAnsi="宋体" w:cs="宋体"/>
          <w:kern w:val="0"/>
          <w:sz w:val="24"/>
        </w:rPr>
        <w:t>奖学金</w:t>
      </w:r>
      <w:r>
        <w:rPr>
          <w:rFonts w:hint="eastAsia" w:ascii="宋体" w:hAnsi="宋体" w:cs="宋体"/>
          <w:kern w:val="0"/>
          <w:sz w:val="24"/>
        </w:rPr>
        <w:t>）和</w:t>
      </w:r>
      <w:r>
        <w:rPr>
          <w:rFonts w:ascii="宋体" w:hAnsi="宋体" w:cs="宋体"/>
          <w:kern w:val="0"/>
          <w:sz w:val="24"/>
        </w:rPr>
        <w:t>荣誉称号</w:t>
      </w:r>
      <w:r>
        <w:rPr>
          <w:rFonts w:hint="eastAsia" w:ascii="宋体" w:hAnsi="宋体" w:cs="宋体"/>
          <w:kern w:val="0"/>
          <w:sz w:val="24"/>
        </w:rPr>
        <w:t>的评定对象为每学年注册在校的研究生，不含</w:t>
      </w:r>
      <w:r>
        <w:rPr>
          <w:rFonts w:ascii="宋体" w:hAnsi="宋体" w:cs="宋体"/>
          <w:kern w:val="0"/>
          <w:sz w:val="24"/>
        </w:rPr>
        <w:t>新生和延期毕业</w:t>
      </w:r>
      <w:r>
        <w:rPr>
          <w:rFonts w:hint="eastAsia" w:ascii="宋体" w:hAnsi="宋体" w:cs="宋体"/>
          <w:kern w:val="0"/>
          <w:sz w:val="24"/>
        </w:rPr>
        <w:t>研究生；</w:t>
      </w:r>
      <w:r>
        <w:rPr>
          <w:rFonts w:ascii="宋体" w:hAnsi="宋体" w:cs="宋体"/>
          <w:kern w:val="0"/>
          <w:sz w:val="24"/>
        </w:rPr>
        <w:t>国家奖学金评</w:t>
      </w:r>
      <w:r>
        <w:rPr>
          <w:rFonts w:hint="eastAsia" w:ascii="宋体" w:hAnsi="宋体" w:cs="宋体"/>
          <w:kern w:val="0"/>
          <w:sz w:val="24"/>
        </w:rPr>
        <w:t>定</w:t>
      </w:r>
      <w:r>
        <w:rPr>
          <w:rFonts w:ascii="宋体" w:hAnsi="宋体" w:cs="宋体"/>
          <w:kern w:val="0"/>
          <w:sz w:val="24"/>
        </w:rPr>
        <w:t>对象</w:t>
      </w:r>
      <w:r>
        <w:rPr>
          <w:rFonts w:hint="eastAsia" w:ascii="宋体" w:hAnsi="宋体" w:cs="宋体"/>
          <w:kern w:val="0"/>
          <w:sz w:val="24"/>
        </w:rPr>
        <w:t>为每学年注册在校的全日制研究生，</w:t>
      </w:r>
      <w:r>
        <w:rPr>
          <w:rFonts w:ascii="宋体" w:hAnsi="宋体" w:cs="宋体"/>
          <w:kern w:val="0"/>
          <w:sz w:val="24"/>
        </w:rPr>
        <w:t>包</w:t>
      </w:r>
      <w:r>
        <w:rPr>
          <w:rFonts w:hint="eastAsia" w:ascii="宋体" w:hAnsi="宋体" w:cs="宋体"/>
          <w:kern w:val="0"/>
          <w:sz w:val="24"/>
        </w:rPr>
        <w:t>含新生，</w:t>
      </w:r>
      <w:r>
        <w:rPr>
          <w:rFonts w:ascii="宋体" w:hAnsi="宋体" w:cs="宋体"/>
          <w:kern w:val="0"/>
          <w:sz w:val="24"/>
        </w:rPr>
        <w:t>但不包含</w:t>
      </w:r>
      <w:r>
        <w:rPr>
          <w:rFonts w:hint="eastAsia" w:ascii="宋体" w:hAnsi="宋体" w:cs="宋体"/>
          <w:kern w:val="0"/>
          <w:sz w:val="24"/>
        </w:rPr>
        <w:t>延期</w:t>
      </w:r>
      <w:r>
        <w:rPr>
          <w:rFonts w:ascii="宋体" w:hAnsi="宋体" w:cs="宋体"/>
          <w:kern w:val="0"/>
          <w:sz w:val="24"/>
        </w:rPr>
        <w:t>毕业研究生</w:t>
      </w:r>
      <w:r>
        <w:rPr>
          <w:rFonts w:hint="eastAsia" w:ascii="宋体" w:hAnsi="宋体" w:cs="宋体"/>
          <w:kern w:val="0"/>
          <w:sz w:val="24"/>
        </w:rPr>
        <w:t>。</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二、基本条件</w:t>
      </w:r>
    </w:p>
    <w:p>
      <w:pPr>
        <w:widowControl/>
        <w:spacing w:line="360" w:lineRule="auto"/>
        <w:ind w:firstLine="420"/>
        <w:rPr>
          <w:rFonts w:ascii="宋体" w:hAnsi="宋体" w:cs="宋体"/>
          <w:kern w:val="0"/>
          <w:sz w:val="24"/>
        </w:rPr>
      </w:pPr>
      <w:r>
        <w:rPr>
          <w:rFonts w:hint="eastAsia" w:ascii="宋体" w:hAnsi="宋体" w:cs="宋体"/>
          <w:kern w:val="0"/>
          <w:sz w:val="24"/>
        </w:rPr>
        <w:t>（一）拥护中国</w:t>
      </w:r>
      <w:r>
        <w:rPr>
          <w:rFonts w:ascii="宋体" w:hAnsi="宋体" w:cs="宋体"/>
          <w:kern w:val="0"/>
          <w:sz w:val="24"/>
        </w:rPr>
        <w:t>共产党</w:t>
      </w:r>
      <w:r>
        <w:rPr>
          <w:rFonts w:hint="eastAsia" w:ascii="宋体" w:hAnsi="宋体" w:cs="宋体"/>
          <w:kern w:val="0"/>
          <w:sz w:val="24"/>
        </w:rPr>
        <w:t>的</w:t>
      </w:r>
      <w:r>
        <w:rPr>
          <w:rFonts w:ascii="宋体" w:hAnsi="宋体" w:cs="宋体"/>
          <w:kern w:val="0"/>
          <w:sz w:val="24"/>
        </w:rPr>
        <w:t>领导，</w:t>
      </w:r>
      <w:r>
        <w:rPr>
          <w:rFonts w:hint="eastAsia" w:ascii="宋体" w:hAnsi="宋体" w:cs="宋体"/>
          <w:kern w:val="0"/>
          <w:sz w:val="24"/>
        </w:rPr>
        <w:t>有良好的思想政治素质。</w:t>
      </w:r>
    </w:p>
    <w:p>
      <w:pPr>
        <w:widowControl/>
        <w:spacing w:line="360" w:lineRule="auto"/>
        <w:ind w:firstLine="420"/>
        <w:rPr>
          <w:rFonts w:ascii="宋体" w:hAnsi="宋体" w:cs="宋体"/>
          <w:kern w:val="0"/>
          <w:sz w:val="24"/>
        </w:rPr>
      </w:pPr>
      <w:r>
        <w:rPr>
          <w:rFonts w:hint="eastAsia" w:ascii="宋体" w:hAnsi="宋体" w:cs="宋体"/>
          <w:kern w:val="0"/>
          <w:sz w:val="24"/>
        </w:rPr>
        <w:t>（二）诚实守信</w:t>
      </w:r>
      <w:r>
        <w:rPr>
          <w:rFonts w:ascii="宋体" w:hAnsi="宋体" w:cs="宋体"/>
          <w:kern w:val="0"/>
          <w:sz w:val="24"/>
        </w:rPr>
        <w:t>、</w:t>
      </w:r>
      <w:r>
        <w:rPr>
          <w:rFonts w:hint="eastAsia" w:ascii="宋体" w:hAnsi="宋体" w:cs="宋体"/>
          <w:kern w:val="0"/>
          <w:sz w:val="24"/>
        </w:rPr>
        <w:t>严谨</w:t>
      </w:r>
      <w:r>
        <w:rPr>
          <w:rFonts w:ascii="宋体" w:hAnsi="宋体" w:cs="宋体"/>
          <w:kern w:val="0"/>
          <w:sz w:val="24"/>
        </w:rPr>
        <w:t>踏实</w:t>
      </w:r>
      <w:r>
        <w:rPr>
          <w:rFonts w:hint="eastAsia" w:ascii="宋体" w:hAnsi="宋体" w:cs="宋体"/>
          <w:kern w:val="0"/>
          <w:sz w:val="24"/>
        </w:rPr>
        <w:t>、学习勤奋、勇于进取。</w:t>
      </w:r>
    </w:p>
    <w:p>
      <w:pPr>
        <w:widowControl/>
        <w:spacing w:line="360" w:lineRule="auto"/>
        <w:ind w:firstLine="420"/>
        <w:rPr>
          <w:rFonts w:ascii="宋体" w:hAnsi="宋体" w:cs="宋体"/>
          <w:kern w:val="0"/>
          <w:sz w:val="24"/>
        </w:rPr>
      </w:pPr>
      <w:r>
        <w:rPr>
          <w:rFonts w:hint="eastAsia" w:ascii="宋体" w:hAnsi="宋体" w:cs="宋体"/>
          <w:kern w:val="0"/>
          <w:sz w:val="24"/>
        </w:rPr>
        <w:t>（三）积极参加体育锻炼，身心健康。</w:t>
      </w:r>
    </w:p>
    <w:p>
      <w:pPr>
        <w:widowControl/>
        <w:spacing w:line="360" w:lineRule="auto"/>
        <w:ind w:firstLine="420"/>
        <w:rPr>
          <w:rFonts w:ascii="宋体" w:hAnsi="宋体" w:cs="宋体"/>
          <w:kern w:val="0"/>
          <w:sz w:val="24"/>
        </w:rPr>
      </w:pPr>
      <w:r>
        <w:rPr>
          <w:rFonts w:hint="eastAsia" w:ascii="宋体" w:hAnsi="宋体" w:cs="宋体"/>
          <w:kern w:val="0"/>
          <w:sz w:val="24"/>
        </w:rPr>
        <w:t>（四）承担校院各级组织</w:t>
      </w:r>
      <w:r>
        <w:rPr>
          <w:rFonts w:hint="eastAsia" w:ascii="宋体" w:hAnsi="宋体" w:cs="宋体"/>
          <w:kern w:val="0"/>
          <w:sz w:val="24"/>
          <w:lang w:val="en-US" w:eastAsia="zh-CN"/>
        </w:rPr>
        <w:t>或</w:t>
      </w:r>
      <w:r>
        <w:rPr>
          <w:rFonts w:hint="eastAsia" w:ascii="宋体" w:hAnsi="宋体" w:cs="宋体"/>
          <w:kern w:val="0"/>
          <w:sz w:val="24"/>
        </w:rPr>
        <w:t>学科点的学生工作、参加校院组织的社会实践或从事社会公益活动</w:t>
      </w:r>
      <w:r>
        <w:rPr>
          <w:rFonts w:ascii="宋体" w:hAnsi="宋体" w:cs="宋体"/>
          <w:kern w:val="0"/>
          <w:sz w:val="24"/>
        </w:rPr>
        <w:t>。</w:t>
      </w:r>
      <w:bookmarkStart w:id="2" w:name="_GoBack"/>
      <w:bookmarkEnd w:id="2"/>
    </w:p>
    <w:p>
      <w:pPr>
        <w:widowControl/>
        <w:spacing w:line="360" w:lineRule="auto"/>
        <w:ind w:firstLine="420"/>
        <w:rPr>
          <w:rFonts w:ascii="宋体" w:hAnsi="宋体" w:cs="宋体"/>
          <w:kern w:val="0"/>
          <w:sz w:val="24"/>
        </w:rPr>
      </w:pPr>
      <w:r>
        <w:rPr>
          <w:rFonts w:hint="eastAsia" w:ascii="宋体" w:hAnsi="宋体" w:cs="宋体"/>
          <w:kern w:val="0"/>
          <w:sz w:val="24"/>
        </w:rPr>
        <w:t xml:space="preserve">学生在该学年中有下列情况之一者，取消其当学年奖学金和荣誉称号评选资格： </w:t>
      </w:r>
    </w:p>
    <w:p>
      <w:pPr>
        <w:widowControl/>
        <w:spacing w:line="360" w:lineRule="auto"/>
        <w:ind w:firstLine="420"/>
        <w:rPr>
          <w:rFonts w:ascii="宋体" w:hAnsi="宋体" w:cs="宋体"/>
          <w:kern w:val="0"/>
          <w:sz w:val="24"/>
        </w:rPr>
      </w:pPr>
      <w:r>
        <w:rPr>
          <w:rFonts w:hint="eastAsia" w:ascii="宋体" w:hAnsi="宋体" w:cs="宋体"/>
          <w:kern w:val="0"/>
          <w:sz w:val="24"/>
        </w:rPr>
        <w:t>（一）违反校纪校规受到处分者；　</w:t>
      </w:r>
    </w:p>
    <w:p>
      <w:pPr>
        <w:widowControl/>
        <w:spacing w:line="360" w:lineRule="auto"/>
        <w:ind w:firstLine="420"/>
        <w:rPr>
          <w:rFonts w:ascii="宋体" w:hAnsi="宋体" w:cs="宋体"/>
          <w:kern w:val="0"/>
          <w:sz w:val="24"/>
        </w:rPr>
      </w:pPr>
      <w:r>
        <w:rPr>
          <w:rFonts w:hint="eastAsia" w:ascii="宋体" w:hAnsi="宋体" w:cs="宋体"/>
          <w:kern w:val="0"/>
          <w:sz w:val="24"/>
        </w:rPr>
        <w:t>（二）课程成绩有不合格者；　</w:t>
      </w:r>
    </w:p>
    <w:p>
      <w:pPr>
        <w:widowControl/>
        <w:spacing w:line="360" w:lineRule="auto"/>
        <w:ind w:firstLine="420"/>
        <w:rPr>
          <w:rFonts w:ascii="宋体" w:hAnsi="宋体" w:cs="宋体"/>
          <w:kern w:val="0"/>
          <w:sz w:val="24"/>
        </w:rPr>
      </w:pPr>
      <w:r>
        <w:rPr>
          <w:rFonts w:hint="eastAsia" w:ascii="宋体" w:hAnsi="宋体" w:cs="宋体"/>
          <w:kern w:val="0"/>
          <w:sz w:val="24"/>
        </w:rPr>
        <w:t>（三）当年未注册者、无故迟到注册者；</w:t>
      </w:r>
    </w:p>
    <w:p>
      <w:pPr>
        <w:widowControl/>
        <w:spacing w:line="360" w:lineRule="auto"/>
        <w:ind w:firstLine="420"/>
        <w:rPr>
          <w:rFonts w:ascii="宋体" w:hAnsi="宋体" w:cs="宋体"/>
          <w:kern w:val="0"/>
          <w:sz w:val="24"/>
        </w:rPr>
      </w:pPr>
      <w:r>
        <w:rPr>
          <w:rFonts w:hint="eastAsia" w:ascii="宋体" w:hAnsi="宋体" w:cs="宋体"/>
          <w:kern w:val="0"/>
          <w:sz w:val="24"/>
        </w:rPr>
        <w:t>（四）无故旷课者；</w:t>
      </w:r>
    </w:p>
    <w:p>
      <w:pPr>
        <w:widowControl/>
        <w:spacing w:line="360" w:lineRule="auto"/>
        <w:ind w:firstLine="420"/>
        <w:rPr>
          <w:rFonts w:ascii="宋体" w:hAnsi="宋体" w:cs="宋体"/>
          <w:kern w:val="0"/>
          <w:sz w:val="24"/>
        </w:rPr>
      </w:pPr>
      <w:r>
        <w:rPr>
          <w:rFonts w:hint="eastAsia" w:ascii="宋体" w:hAnsi="宋体" w:cs="宋体"/>
          <w:kern w:val="0"/>
          <w:sz w:val="24"/>
        </w:rPr>
        <w:t>（五）无正当理由延期毕业者。</w:t>
      </w:r>
    </w:p>
    <w:p>
      <w:pPr>
        <w:widowControl/>
        <w:spacing w:line="360" w:lineRule="auto"/>
        <w:rPr>
          <w:rFonts w:ascii="宋体" w:hAnsi="宋体" w:cs="宋体"/>
          <w:b/>
          <w:bCs/>
          <w:kern w:val="0"/>
          <w:sz w:val="24"/>
        </w:rPr>
      </w:pPr>
    </w:p>
    <w:p>
      <w:pPr>
        <w:widowControl/>
        <w:spacing w:line="360" w:lineRule="auto"/>
        <w:jc w:val="center"/>
        <w:rPr>
          <w:rFonts w:ascii="宋体" w:hAnsi="宋体" w:cs="宋体"/>
          <w:kern w:val="0"/>
          <w:szCs w:val="21"/>
        </w:rPr>
      </w:pPr>
      <w:r>
        <w:rPr>
          <w:rFonts w:hint="eastAsia" w:ascii="宋体" w:hAnsi="宋体" w:cs="宋体"/>
          <w:b/>
          <w:bCs/>
          <w:kern w:val="0"/>
          <w:sz w:val="24"/>
        </w:rPr>
        <w:t xml:space="preserve">第二部分  </w:t>
      </w:r>
      <w:r>
        <w:rPr>
          <w:rFonts w:ascii="宋体" w:hAnsi="宋体" w:cs="宋体"/>
          <w:b/>
          <w:bCs/>
          <w:kern w:val="0"/>
          <w:sz w:val="24"/>
        </w:rPr>
        <w:t>评定程序</w:t>
      </w:r>
    </w:p>
    <w:p>
      <w:pPr>
        <w:widowControl/>
        <w:spacing w:line="360" w:lineRule="auto"/>
        <w:ind w:firstLine="480" w:firstLineChars="200"/>
        <w:rPr>
          <w:rFonts w:ascii="宋体" w:hAnsi="宋体" w:cs="宋体"/>
          <w:kern w:val="0"/>
          <w:szCs w:val="21"/>
        </w:rPr>
      </w:pPr>
      <w:r>
        <w:rPr>
          <w:rFonts w:ascii="宋体" w:hAnsi="宋体" w:cs="宋体"/>
          <w:kern w:val="0"/>
          <w:sz w:val="24"/>
        </w:rPr>
        <w:t>一、公告：学院</w:t>
      </w:r>
      <w:r>
        <w:rPr>
          <w:rFonts w:hint="eastAsia" w:ascii="宋体" w:hAnsi="宋体" w:cs="宋体"/>
          <w:kern w:val="0"/>
          <w:sz w:val="24"/>
        </w:rPr>
        <w:t>研究生奖学金</w:t>
      </w:r>
      <w:r>
        <w:rPr>
          <w:rFonts w:ascii="宋体" w:hAnsi="宋体" w:cs="宋体"/>
          <w:kern w:val="0"/>
          <w:sz w:val="24"/>
        </w:rPr>
        <w:t>评审委员会将每年的奖项进行公布并传达。</w:t>
      </w:r>
    </w:p>
    <w:p>
      <w:pPr>
        <w:widowControl/>
        <w:spacing w:line="360" w:lineRule="auto"/>
        <w:ind w:firstLine="480"/>
        <w:rPr>
          <w:rFonts w:ascii="宋体" w:hAnsi="宋体" w:cs="宋体"/>
          <w:kern w:val="0"/>
          <w:szCs w:val="21"/>
        </w:rPr>
      </w:pPr>
      <w:r>
        <w:rPr>
          <w:rFonts w:ascii="宋体" w:hAnsi="宋体" w:cs="宋体"/>
          <w:kern w:val="0"/>
          <w:sz w:val="24"/>
        </w:rPr>
        <w:t>二、申报：申报者填写申报表，</w:t>
      </w:r>
      <w:r>
        <w:rPr>
          <w:rFonts w:hint="eastAsia" w:ascii="宋体" w:hAnsi="宋体" w:cs="宋体"/>
          <w:kern w:val="0"/>
          <w:sz w:val="24"/>
        </w:rPr>
        <w:t>由</w:t>
      </w:r>
      <w:r>
        <w:rPr>
          <w:rFonts w:ascii="宋体" w:hAnsi="宋体" w:cs="宋体"/>
          <w:kern w:val="0"/>
          <w:sz w:val="24"/>
        </w:rPr>
        <w:t>各班级进行初审</w:t>
      </w:r>
      <w:r>
        <w:rPr>
          <w:rFonts w:hint="eastAsia" w:ascii="宋体" w:hAnsi="宋体" w:cs="宋体"/>
          <w:kern w:val="0"/>
          <w:sz w:val="24"/>
        </w:rPr>
        <w:t>计分</w:t>
      </w:r>
      <w:r>
        <w:rPr>
          <w:rFonts w:ascii="宋体" w:hAnsi="宋体" w:cs="宋体"/>
          <w:kern w:val="0"/>
          <w:sz w:val="24"/>
        </w:rPr>
        <w:t>，之后</w:t>
      </w:r>
      <w:r>
        <w:rPr>
          <w:rFonts w:hint="eastAsia" w:ascii="宋体" w:hAnsi="宋体" w:cs="宋体"/>
          <w:kern w:val="0"/>
          <w:sz w:val="24"/>
        </w:rPr>
        <w:t>通过班长</w:t>
      </w:r>
      <w:r>
        <w:rPr>
          <w:rFonts w:ascii="宋体" w:hAnsi="宋体" w:cs="宋体"/>
          <w:kern w:val="0"/>
          <w:sz w:val="24"/>
        </w:rPr>
        <w:t>联席会议</w:t>
      </w:r>
      <w:r>
        <w:rPr>
          <w:rFonts w:hint="eastAsia" w:ascii="宋体" w:hAnsi="宋体" w:cs="宋体"/>
          <w:kern w:val="0"/>
          <w:sz w:val="24"/>
        </w:rPr>
        <w:t>进行</w:t>
      </w:r>
      <w:r>
        <w:rPr>
          <w:rFonts w:ascii="宋体" w:hAnsi="宋体" w:cs="宋体"/>
          <w:kern w:val="0"/>
          <w:sz w:val="24"/>
        </w:rPr>
        <w:t>交叉</w:t>
      </w:r>
      <w:r>
        <w:rPr>
          <w:rFonts w:hint="eastAsia" w:ascii="宋体" w:hAnsi="宋体" w:cs="宋体"/>
          <w:kern w:val="0"/>
          <w:sz w:val="24"/>
        </w:rPr>
        <w:t>复核</w:t>
      </w:r>
      <w:r>
        <w:rPr>
          <w:rFonts w:ascii="宋体" w:hAnsi="宋体" w:cs="宋体"/>
          <w:kern w:val="0"/>
          <w:sz w:val="24"/>
        </w:rPr>
        <w:t>，公示最终</w:t>
      </w:r>
      <w:r>
        <w:rPr>
          <w:rFonts w:hint="eastAsia" w:ascii="宋体" w:hAnsi="宋体" w:cs="宋体"/>
          <w:kern w:val="0"/>
          <w:sz w:val="24"/>
        </w:rPr>
        <w:t>纪实分数</w:t>
      </w:r>
      <w:r>
        <w:rPr>
          <w:rFonts w:ascii="宋体" w:hAnsi="宋体" w:cs="宋体"/>
          <w:kern w:val="0"/>
          <w:sz w:val="24"/>
        </w:rPr>
        <w:t>，向学院</w:t>
      </w:r>
      <w:r>
        <w:rPr>
          <w:rFonts w:hint="eastAsia" w:ascii="宋体" w:hAnsi="宋体" w:cs="宋体"/>
          <w:kern w:val="0"/>
          <w:sz w:val="24"/>
        </w:rPr>
        <w:t>研究生奖学金</w:t>
      </w:r>
      <w:r>
        <w:rPr>
          <w:rFonts w:ascii="宋体" w:hAnsi="宋体" w:cs="宋体"/>
          <w:kern w:val="0"/>
          <w:sz w:val="24"/>
        </w:rPr>
        <w:t>评审委员会提交相关材料的原件及复印件。</w:t>
      </w:r>
    </w:p>
    <w:p>
      <w:pPr>
        <w:widowControl/>
        <w:spacing w:line="360" w:lineRule="auto"/>
        <w:ind w:firstLine="480"/>
        <w:rPr>
          <w:rFonts w:ascii="宋体" w:hAnsi="宋体" w:cs="宋体"/>
          <w:kern w:val="0"/>
          <w:szCs w:val="21"/>
        </w:rPr>
      </w:pPr>
      <w:r>
        <w:rPr>
          <w:rFonts w:ascii="宋体" w:hAnsi="宋体" w:cs="宋体"/>
          <w:kern w:val="0"/>
          <w:sz w:val="24"/>
        </w:rPr>
        <w:t>三、评定：由</w:t>
      </w:r>
      <w:r>
        <w:rPr>
          <w:rFonts w:hint="eastAsia" w:ascii="宋体" w:hAnsi="宋体" w:cs="宋体"/>
          <w:kern w:val="0"/>
          <w:sz w:val="24"/>
        </w:rPr>
        <w:t>学院</w:t>
      </w:r>
      <w:r>
        <w:rPr>
          <w:rFonts w:ascii="宋体" w:hAnsi="宋体" w:cs="宋体"/>
          <w:kern w:val="0"/>
          <w:sz w:val="24"/>
        </w:rPr>
        <w:t>研究生</w:t>
      </w:r>
      <w:r>
        <w:rPr>
          <w:rFonts w:hint="eastAsia" w:ascii="宋体" w:hAnsi="宋体" w:cs="宋体"/>
          <w:kern w:val="0"/>
          <w:sz w:val="24"/>
        </w:rPr>
        <w:t>奖学金</w:t>
      </w:r>
      <w:r>
        <w:rPr>
          <w:rFonts w:ascii="宋体" w:hAnsi="宋体" w:cs="宋体"/>
          <w:kern w:val="0"/>
          <w:sz w:val="24"/>
        </w:rPr>
        <w:t>评审委员会组织，学院研究生工作领导小组全体成员参加评定，</w:t>
      </w:r>
      <w:r>
        <w:rPr>
          <w:rFonts w:hint="eastAsia" w:ascii="宋体" w:hAnsi="宋体" w:cs="宋体"/>
          <w:kern w:val="0"/>
          <w:sz w:val="24"/>
        </w:rPr>
        <w:t>各</w:t>
      </w:r>
      <w:r>
        <w:rPr>
          <w:rFonts w:ascii="宋体" w:hAnsi="宋体" w:cs="宋体"/>
          <w:kern w:val="0"/>
          <w:sz w:val="24"/>
        </w:rPr>
        <w:t>硕、博士点</w:t>
      </w:r>
      <w:r>
        <w:rPr>
          <w:rFonts w:hint="eastAsia" w:ascii="宋体" w:hAnsi="宋体" w:cs="宋体"/>
          <w:kern w:val="0"/>
          <w:sz w:val="24"/>
        </w:rPr>
        <w:t>推荐</w:t>
      </w:r>
      <w:r>
        <w:rPr>
          <w:rFonts w:ascii="宋体" w:hAnsi="宋体" w:cs="宋体"/>
          <w:kern w:val="0"/>
          <w:sz w:val="24"/>
        </w:rPr>
        <w:t>一位导师代表</w:t>
      </w:r>
      <w:r>
        <w:rPr>
          <w:rFonts w:hint="eastAsia" w:ascii="宋体" w:hAnsi="宋体" w:cs="宋体"/>
          <w:kern w:val="0"/>
          <w:sz w:val="24"/>
        </w:rPr>
        <w:t>参加</w:t>
      </w:r>
      <w:r>
        <w:rPr>
          <w:rFonts w:ascii="宋体" w:hAnsi="宋体" w:cs="宋体"/>
          <w:kern w:val="0"/>
          <w:sz w:val="24"/>
        </w:rPr>
        <w:t>。</w:t>
      </w:r>
      <w:r>
        <w:rPr>
          <w:rFonts w:hint="eastAsia" w:ascii="宋体" w:hAnsi="宋体" w:cs="宋体"/>
          <w:kern w:val="0"/>
          <w:sz w:val="24"/>
        </w:rPr>
        <w:t>其中</w:t>
      </w:r>
      <w:r>
        <w:rPr>
          <w:rFonts w:ascii="宋体" w:hAnsi="宋体" w:cs="宋体"/>
          <w:kern w:val="0"/>
          <w:sz w:val="24"/>
        </w:rPr>
        <w:t>，国家</w:t>
      </w:r>
      <w:r>
        <w:rPr>
          <w:rFonts w:hint="eastAsia" w:ascii="宋体" w:hAnsi="宋体" w:cs="宋体"/>
          <w:kern w:val="0"/>
          <w:sz w:val="24"/>
        </w:rPr>
        <w:t>奖学金需</w:t>
      </w:r>
      <w:r>
        <w:rPr>
          <w:rFonts w:ascii="宋体" w:hAnsi="宋体" w:cs="宋体"/>
          <w:kern w:val="0"/>
          <w:sz w:val="24"/>
        </w:rPr>
        <w:t>申请者进行</w:t>
      </w:r>
      <w:r>
        <w:rPr>
          <w:rFonts w:hint="eastAsia" w:ascii="宋体" w:hAnsi="宋体" w:cs="宋体"/>
          <w:kern w:val="0"/>
          <w:sz w:val="24"/>
        </w:rPr>
        <w:t>个人</w:t>
      </w:r>
      <w:r>
        <w:rPr>
          <w:rFonts w:ascii="宋体" w:hAnsi="宋体" w:cs="宋体"/>
          <w:kern w:val="0"/>
          <w:sz w:val="24"/>
        </w:rPr>
        <w:t>展示和答辩。</w:t>
      </w:r>
    </w:p>
    <w:p>
      <w:pPr>
        <w:widowControl/>
        <w:spacing w:line="360" w:lineRule="auto"/>
        <w:ind w:firstLine="480"/>
        <w:rPr>
          <w:rFonts w:ascii="宋体" w:hAnsi="宋体" w:cs="宋体"/>
          <w:kern w:val="0"/>
          <w:szCs w:val="21"/>
        </w:rPr>
      </w:pPr>
      <w:r>
        <w:rPr>
          <w:rFonts w:ascii="宋体" w:hAnsi="宋体" w:cs="宋体"/>
          <w:kern w:val="0"/>
          <w:sz w:val="24"/>
        </w:rPr>
        <w:t>四、公示：公布学院初评名单，如有异议，可在公示期（</w:t>
      </w:r>
      <w:r>
        <w:rPr>
          <w:rFonts w:hint="eastAsia" w:ascii="宋体" w:hAnsi="宋体" w:cs="宋体"/>
          <w:kern w:val="0"/>
          <w:sz w:val="24"/>
        </w:rPr>
        <w:t>五</w:t>
      </w:r>
      <w:r>
        <w:rPr>
          <w:rFonts w:ascii="宋体" w:hAnsi="宋体" w:cs="宋体"/>
          <w:kern w:val="0"/>
          <w:sz w:val="24"/>
        </w:rPr>
        <w:t>天）内以书面或口头形式向学院</w:t>
      </w:r>
      <w:r>
        <w:rPr>
          <w:rFonts w:hint="eastAsia" w:ascii="宋体" w:hAnsi="宋体" w:cs="宋体"/>
          <w:kern w:val="0"/>
          <w:sz w:val="24"/>
        </w:rPr>
        <w:t>研究生奖学金</w:t>
      </w:r>
      <w:r>
        <w:rPr>
          <w:rFonts w:ascii="宋体" w:hAnsi="宋体" w:cs="宋体"/>
          <w:kern w:val="0"/>
          <w:sz w:val="24"/>
        </w:rPr>
        <w:t>评审委员会反映。</w:t>
      </w:r>
    </w:p>
    <w:p>
      <w:pPr>
        <w:widowControl/>
        <w:spacing w:line="360" w:lineRule="auto"/>
        <w:ind w:left="-2" w:leftChars="-1" w:firstLine="480" w:firstLineChars="200"/>
        <w:rPr>
          <w:rFonts w:ascii="宋体" w:hAnsi="宋体" w:cs="宋体"/>
          <w:kern w:val="0"/>
          <w:sz w:val="24"/>
        </w:rPr>
      </w:pPr>
      <w:r>
        <w:rPr>
          <w:rFonts w:ascii="宋体" w:hAnsi="宋体" w:cs="宋体"/>
          <w:kern w:val="0"/>
          <w:sz w:val="24"/>
        </w:rPr>
        <w:t>五、上报：依规定呈报校研究生院</w:t>
      </w:r>
      <w:r>
        <w:rPr>
          <w:rFonts w:hint="eastAsia" w:ascii="宋体" w:hAnsi="宋体" w:cs="宋体"/>
          <w:kern w:val="0"/>
          <w:sz w:val="24"/>
        </w:rPr>
        <w:t>。</w:t>
      </w:r>
    </w:p>
    <w:p>
      <w:pPr>
        <w:widowControl/>
        <w:spacing w:line="360" w:lineRule="auto"/>
        <w:ind w:left="-2" w:leftChars="-1" w:firstLine="420" w:firstLineChars="200"/>
        <w:rPr>
          <w:rFonts w:hint="eastAsia" w:ascii="宋体" w:hAnsi="宋体" w:cs="宋体"/>
          <w:kern w:val="0"/>
          <w:szCs w:val="21"/>
        </w:rPr>
      </w:pPr>
    </w:p>
    <w:p>
      <w:pPr>
        <w:widowControl/>
        <w:spacing w:line="360" w:lineRule="auto"/>
        <w:jc w:val="center"/>
        <w:rPr>
          <w:rFonts w:ascii="宋体" w:hAnsi="宋体" w:cs="宋体"/>
          <w:kern w:val="0"/>
          <w:szCs w:val="21"/>
        </w:rPr>
      </w:pPr>
      <w:r>
        <w:rPr>
          <w:rFonts w:ascii="宋体" w:hAnsi="宋体" w:cs="宋体"/>
          <w:b/>
          <w:bCs/>
          <w:kern w:val="0"/>
          <w:sz w:val="24"/>
        </w:rPr>
        <w:t>第</w:t>
      </w:r>
      <w:r>
        <w:rPr>
          <w:rFonts w:hint="eastAsia" w:ascii="宋体" w:hAnsi="宋体" w:cs="宋体"/>
          <w:b/>
          <w:bCs/>
          <w:kern w:val="0"/>
          <w:sz w:val="24"/>
        </w:rPr>
        <w:t>三</w:t>
      </w:r>
      <w:r>
        <w:rPr>
          <w:rFonts w:ascii="宋体" w:hAnsi="宋体" w:cs="宋体"/>
          <w:b/>
          <w:bCs/>
          <w:kern w:val="0"/>
          <w:sz w:val="24"/>
        </w:rPr>
        <w:t>部分 基本规则</w:t>
      </w:r>
    </w:p>
    <w:p>
      <w:pPr>
        <w:widowControl/>
        <w:spacing w:line="360" w:lineRule="auto"/>
        <w:ind w:firstLine="480" w:firstLineChars="200"/>
        <w:jc w:val="left"/>
        <w:rPr>
          <w:rFonts w:ascii="宋体" w:hAnsi="宋体" w:cs="宋体"/>
          <w:kern w:val="0"/>
          <w:szCs w:val="21"/>
        </w:rPr>
      </w:pPr>
      <w:r>
        <w:rPr>
          <w:rFonts w:ascii="宋体" w:hAnsi="宋体" w:cs="宋体"/>
          <w:kern w:val="0"/>
          <w:sz w:val="24"/>
        </w:rPr>
        <w:t>一、各项评奖评优工作在执行学校有关文件的基础上，主要依据研究生德智体等方面综合量化结果，评定各项奖励和荣誉称号。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二、</w:t>
      </w:r>
      <w:r>
        <w:rPr>
          <w:rFonts w:ascii="宋体" w:hAnsi="宋体" w:cs="宋体"/>
          <w:kern w:val="0"/>
          <w:sz w:val="24"/>
        </w:rPr>
        <w:t>参加</w:t>
      </w:r>
      <w:r>
        <w:rPr>
          <w:rFonts w:hint="eastAsia" w:ascii="宋体" w:hAnsi="宋体" w:cs="宋体"/>
          <w:kern w:val="0"/>
          <w:sz w:val="24"/>
        </w:rPr>
        <w:t>国家</w:t>
      </w:r>
      <w:r>
        <w:rPr>
          <w:rFonts w:ascii="宋体" w:hAnsi="宋体" w:cs="宋体"/>
          <w:kern w:val="0"/>
          <w:sz w:val="24"/>
        </w:rPr>
        <w:t>奖学金</w:t>
      </w:r>
      <w:r>
        <w:rPr>
          <w:rFonts w:hint="eastAsia" w:ascii="宋体" w:hAnsi="宋体" w:cs="宋体"/>
          <w:kern w:val="0"/>
          <w:sz w:val="24"/>
        </w:rPr>
        <w:t>评定</w:t>
      </w:r>
      <w:r>
        <w:rPr>
          <w:rFonts w:ascii="宋体" w:hAnsi="宋体" w:cs="宋体"/>
          <w:kern w:val="0"/>
          <w:sz w:val="24"/>
        </w:rPr>
        <w:t>，硕士生须已在</w:t>
      </w:r>
      <w:r>
        <w:rPr>
          <w:rFonts w:hint="eastAsia" w:ascii="宋体" w:hAnsi="宋体" w:cs="宋体"/>
          <w:kern w:val="0"/>
          <w:sz w:val="24"/>
        </w:rPr>
        <w:t>须</w:t>
      </w:r>
      <w:r>
        <w:rPr>
          <w:rFonts w:ascii="宋体" w:hAnsi="宋体" w:cs="宋体"/>
          <w:kern w:val="0"/>
          <w:sz w:val="24"/>
        </w:rPr>
        <w:t>已在期刊上</w:t>
      </w:r>
      <w:r>
        <w:rPr>
          <w:rFonts w:hint="eastAsia" w:ascii="宋体" w:hAnsi="宋体" w:cs="宋体"/>
          <w:kern w:val="0"/>
          <w:sz w:val="24"/>
        </w:rPr>
        <w:t>公开</w:t>
      </w:r>
      <w:r>
        <w:rPr>
          <w:rFonts w:ascii="宋体" w:hAnsi="宋体" w:cs="宋体"/>
          <w:kern w:val="0"/>
          <w:sz w:val="24"/>
        </w:rPr>
        <w:t>发表文章一篇以上，</w:t>
      </w:r>
      <w:r>
        <w:rPr>
          <w:rFonts w:hint="eastAsia" w:ascii="宋体" w:hAnsi="宋体" w:cs="宋体"/>
          <w:kern w:val="0"/>
          <w:sz w:val="24"/>
        </w:rPr>
        <w:t>博士生须已在光华法学院认定的重要刊物上公开发表文章一篇以上或者主持省部级或者</w:t>
      </w:r>
      <w:r>
        <w:rPr>
          <w:rFonts w:ascii="宋体" w:hAnsi="宋体" w:cs="宋体"/>
          <w:kern w:val="0"/>
          <w:sz w:val="24"/>
        </w:rPr>
        <w:t>国家级</w:t>
      </w:r>
      <w:r>
        <w:rPr>
          <w:rFonts w:hint="eastAsia" w:ascii="宋体" w:hAnsi="宋体" w:cs="宋体"/>
          <w:kern w:val="0"/>
          <w:sz w:val="24"/>
        </w:rPr>
        <w:t>课题一项及以上；参加</w:t>
      </w:r>
      <w:r>
        <w:rPr>
          <w:rFonts w:ascii="宋体" w:hAnsi="宋体" w:cs="宋体"/>
          <w:kern w:val="0"/>
          <w:sz w:val="24"/>
        </w:rPr>
        <w:t>学校各专项奖学金评定，</w:t>
      </w:r>
      <w:r>
        <w:rPr>
          <w:rFonts w:hint="eastAsia" w:ascii="宋体" w:hAnsi="宋体" w:cs="宋体"/>
          <w:kern w:val="0"/>
          <w:sz w:val="24"/>
        </w:rPr>
        <w:t>须</w:t>
      </w:r>
      <w:r>
        <w:rPr>
          <w:rFonts w:ascii="宋体" w:hAnsi="宋体" w:cs="宋体"/>
          <w:kern w:val="0"/>
          <w:sz w:val="24"/>
        </w:rPr>
        <w:t>已在期刊上</w:t>
      </w:r>
      <w:r>
        <w:rPr>
          <w:rFonts w:hint="eastAsia" w:ascii="宋体" w:hAnsi="宋体" w:cs="宋体"/>
          <w:kern w:val="0"/>
          <w:sz w:val="24"/>
        </w:rPr>
        <w:t>公开</w:t>
      </w:r>
      <w:r>
        <w:rPr>
          <w:rFonts w:ascii="宋体" w:hAnsi="宋体" w:cs="宋体"/>
          <w:kern w:val="0"/>
          <w:sz w:val="24"/>
        </w:rPr>
        <w:t>发表文章一篇以上</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Cs w:val="21"/>
        </w:rPr>
      </w:pPr>
      <w:r>
        <w:rPr>
          <w:rFonts w:ascii="宋体" w:hAnsi="宋体" w:cs="宋体"/>
          <w:kern w:val="0"/>
          <w:sz w:val="24"/>
        </w:rPr>
        <w:t>三、竺可桢</w:t>
      </w:r>
      <w:r>
        <w:rPr>
          <w:rFonts w:hint="eastAsia" w:ascii="宋体" w:hAnsi="宋体" w:cs="宋体"/>
          <w:kern w:val="0"/>
          <w:sz w:val="24"/>
        </w:rPr>
        <w:t>奖学金</w:t>
      </w:r>
      <w:r>
        <w:rPr>
          <w:rFonts w:ascii="宋体" w:hAnsi="宋体" w:cs="宋体"/>
          <w:kern w:val="0"/>
          <w:sz w:val="24"/>
        </w:rPr>
        <w:t>、</w:t>
      </w:r>
      <w:r>
        <w:rPr>
          <w:rFonts w:hint="eastAsia" w:ascii="宋体" w:hAnsi="宋体" w:cs="宋体"/>
          <w:kern w:val="0"/>
          <w:sz w:val="24"/>
        </w:rPr>
        <w:t>唐立新奖学金</w:t>
      </w:r>
      <w:r>
        <w:rPr>
          <w:rFonts w:ascii="宋体" w:hAnsi="宋体" w:cs="宋体"/>
          <w:kern w:val="0"/>
          <w:sz w:val="24"/>
        </w:rPr>
        <w:t>等各专项奖学金按照学校规定的名额进行评选</w:t>
      </w:r>
      <w:r>
        <w:rPr>
          <w:rFonts w:hint="eastAsia" w:ascii="宋体" w:hAnsi="宋体" w:cs="宋体"/>
          <w:kern w:val="0"/>
          <w:sz w:val="24"/>
        </w:rPr>
        <w:t>推荐</w:t>
      </w:r>
      <w:r>
        <w:rPr>
          <w:rFonts w:ascii="宋体" w:hAnsi="宋体" w:cs="宋体"/>
          <w:kern w:val="0"/>
          <w:sz w:val="24"/>
        </w:rPr>
        <w:t>。</w:t>
      </w:r>
    </w:p>
    <w:p>
      <w:pPr>
        <w:widowControl/>
        <w:spacing w:line="360" w:lineRule="auto"/>
        <w:ind w:firstLine="480"/>
        <w:jc w:val="left"/>
        <w:rPr>
          <w:rFonts w:ascii="宋体" w:hAnsi="宋体" w:cs="宋体"/>
          <w:kern w:val="0"/>
          <w:szCs w:val="21"/>
        </w:rPr>
      </w:pPr>
      <w:r>
        <w:rPr>
          <w:rFonts w:ascii="宋体" w:hAnsi="宋体" w:cs="宋体"/>
          <w:kern w:val="0"/>
          <w:sz w:val="24"/>
        </w:rPr>
        <w:t>四、优秀学生干部的评选在学校规定名额的基础上，</w:t>
      </w:r>
      <w:r>
        <w:rPr>
          <w:rFonts w:hint="eastAsia" w:ascii="宋体" w:hAnsi="宋体" w:cs="宋体"/>
          <w:kern w:val="0"/>
          <w:sz w:val="24"/>
        </w:rPr>
        <w:t>由学院</w:t>
      </w:r>
      <w:r>
        <w:rPr>
          <w:rFonts w:ascii="宋体" w:hAnsi="宋体" w:cs="宋体"/>
          <w:kern w:val="0"/>
          <w:sz w:val="24"/>
        </w:rPr>
        <w:t>评审委员会</w:t>
      </w:r>
      <w:r>
        <w:rPr>
          <w:rFonts w:hint="eastAsia" w:ascii="宋体" w:hAnsi="宋体" w:cs="宋体"/>
          <w:kern w:val="0"/>
          <w:sz w:val="24"/>
        </w:rPr>
        <w:t>结合</w:t>
      </w:r>
      <w:r>
        <w:rPr>
          <w:rFonts w:ascii="宋体" w:hAnsi="宋体" w:cs="宋体"/>
          <w:kern w:val="0"/>
          <w:sz w:val="24"/>
        </w:rPr>
        <w:t>学生干部考核结果进行</w:t>
      </w:r>
      <w:r>
        <w:rPr>
          <w:rFonts w:hint="eastAsia" w:ascii="宋体" w:hAnsi="宋体" w:cs="宋体"/>
          <w:kern w:val="0"/>
          <w:sz w:val="24"/>
        </w:rPr>
        <w:t>综合评定</w:t>
      </w:r>
      <w:r>
        <w:rPr>
          <w:rFonts w:ascii="宋体" w:hAnsi="宋体" w:cs="宋体"/>
          <w:kern w:val="0"/>
          <w:sz w:val="24"/>
        </w:rPr>
        <w:t>。</w:t>
      </w:r>
    </w:p>
    <w:p>
      <w:pPr>
        <w:widowControl/>
        <w:spacing w:line="360" w:lineRule="auto"/>
        <w:ind w:firstLine="480"/>
        <w:jc w:val="left"/>
        <w:rPr>
          <w:rFonts w:ascii="宋体" w:hAnsi="宋体" w:cs="宋体"/>
          <w:kern w:val="0"/>
          <w:sz w:val="24"/>
        </w:rPr>
      </w:pPr>
      <w:r>
        <w:rPr>
          <w:rFonts w:ascii="宋体" w:hAnsi="宋体" w:cs="宋体"/>
          <w:kern w:val="0"/>
          <w:sz w:val="24"/>
        </w:rPr>
        <w:t>五、三好</w:t>
      </w:r>
      <w:r>
        <w:rPr>
          <w:rFonts w:hint="eastAsia" w:ascii="宋体" w:hAnsi="宋体" w:cs="宋体"/>
          <w:kern w:val="0"/>
          <w:sz w:val="24"/>
        </w:rPr>
        <w:t>研究</w:t>
      </w:r>
      <w:r>
        <w:rPr>
          <w:rFonts w:ascii="宋体" w:hAnsi="宋体" w:cs="宋体"/>
          <w:kern w:val="0"/>
          <w:sz w:val="24"/>
        </w:rPr>
        <w:t>生荣誉称号原则上</w:t>
      </w:r>
      <w:r>
        <w:rPr>
          <w:rFonts w:hint="eastAsia" w:ascii="宋体" w:hAnsi="宋体" w:cs="宋体"/>
          <w:kern w:val="0"/>
          <w:sz w:val="24"/>
        </w:rPr>
        <w:t>从</w:t>
      </w:r>
      <w:r>
        <w:rPr>
          <w:rFonts w:ascii="宋体" w:hAnsi="宋体" w:cs="宋体"/>
          <w:kern w:val="0"/>
          <w:sz w:val="24"/>
        </w:rPr>
        <w:t>优秀研究生</w:t>
      </w:r>
      <w:r>
        <w:rPr>
          <w:rFonts w:hint="eastAsia" w:ascii="宋体" w:hAnsi="宋体" w:cs="宋体"/>
          <w:kern w:val="0"/>
          <w:sz w:val="24"/>
        </w:rPr>
        <w:t>荣誉</w:t>
      </w:r>
      <w:r>
        <w:rPr>
          <w:rFonts w:ascii="宋体" w:hAnsi="宋体" w:cs="宋体"/>
          <w:kern w:val="0"/>
          <w:sz w:val="24"/>
        </w:rPr>
        <w:t>获得者中产生。根据法学</w:t>
      </w:r>
      <w:r>
        <w:rPr>
          <w:rFonts w:hint="eastAsia" w:ascii="宋体" w:hAnsi="宋体" w:cs="宋体"/>
          <w:kern w:val="0"/>
          <w:sz w:val="24"/>
        </w:rPr>
        <w:t>硕士</w:t>
      </w:r>
      <w:r>
        <w:rPr>
          <w:rFonts w:ascii="宋体" w:hAnsi="宋体" w:cs="宋体"/>
          <w:kern w:val="0"/>
          <w:sz w:val="24"/>
        </w:rPr>
        <w:t>研究生与法律硕士</w:t>
      </w:r>
      <w:r>
        <w:rPr>
          <w:rFonts w:hint="eastAsia" w:ascii="宋体" w:hAnsi="宋体" w:cs="宋体"/>
          <w:kern w:val="0"/>
          <w:sz w:val="24"/>
        </w:rPr>
        <w:t>研究生</w:t>
      </w:r>
      <w:r>
        <w:rPr>
          <w:rFonts w:ascii="宋体" w:hAnsi="宋体" w:cs="宋体"/>
          <w:kern w:val="0"/>
          <w:sz w:val="24"/>
        </w:rPr>
        <w:t>的不同特点公平分配奖学金</w:t>
      </w:r>
      <w:r>
        <w:rPr>
          <w:rFonts w:hint="eastAsia" w:ascii="宋体" w:hAnsi="宋体" w:cs="宋体"/>
          <w:kern w:val="0"/>
          <w:sz w:val="24"/>
        </w:rPr>
        <w:t>和</w:t>
      </w:r>
      <w:r>
        <w:rPr>
          <w:rFonts w:ascii="宋体" w:hAnsi="宋体" w:cs="宋体"/>
          <w:kern w:val="0"/>
          <w:sz w:val="24"/>
        </w:rPr>
        <w:t>荣誉称号名额。</w:t>
      </w:r>
      <w:r>
        <w:rPr>
          <w:rFonts w:hint="eastAsia" w:ascii="宋体" w:hAnsi="宋体"/>
          <w:color w:val="000000"/>
          <w:sz w:val="24"/>
        </w:rPr>
        <w:t>对德智体诸方面表现突出的先进班级或年级，可酌情</w:t>
      </w:r>
      <w:r>
        <w:rPr>
          <w:rFonts w:ascii="宋体" w:hAnsi="宋体"/>
          <w:color w:val="000000"/>
          <w:sz w:val="24"/>
        </w:rPr>
        <w:t>优先考虑名额分配</w:t>
      </w:r>
      <w:r>
        <w:rPr>
          <w:rFonts w:hint="eastAsia" w:ascii="宋体" w:hAnsi="宋体"/>
          <w:color w:val="000000"/>
          <w:sz w:val="24"/>
        </w:rPr>
        <w:t>。</w:t>
      </w:r>
    </w:p>
    <w:p>
      <w:pPr>
        <w:widowControl/>
        <w:spacing w:line="360" w:lineRule="auto"/>
        <w:ind w:left="-105" w:leftChars="-50" w:firstLine="600" w:firstLineChars="250"/>
        <w:jc w:val="left"/>
        <w:rPr>
          <w:rFonts w:ascii="宋体" w:hAnsi="宋体" w:cs="宋体"/>
          <w:bCs/>
          <w:kern w:val="0"/>
          <w:sz w:val="24"/>
        </w:rPr>
      </w:pPr>
      <w:r>
        <w:rPr>
          <w:rFonts w:hint="eastAsia" w:ascii="宋体" w:hAnsi="宋体" w:cs="宋体"/>
          <w:bCs/>
          <w:kern w:val="0"/>
          <w:sz w:val="24"/>
        </w:rPr>
        <w:t>六、获得校、院级优秀共产党员荣誉称号者，同等条件下优先评定高等级荣誉或奖学金。</w:t>
      </w:r>
    </w:p>
    <w:p>
      <w:pPr>
        <w:widowControl/>
        <w:spacing w:line="360" w:lineRule="auto"/>
        <w:ind w:left="-105" w:leftChars="-50" w:firstLine="525" w:firstLineChars="250"/>
        <w:jc w:val="left"/>
        <w:rPr>
          <w:rFonts w:hint="eastAsia" w:ascii="宋体" w:hAnsi="宋体" w:cs="宋体"/>
          <w:kern w:val="0"/>
          <w:szCs w:val="21"/>
        </w:rPr>
      </w:pPr>
    </w:p>
    <w:p>
      <w:pPr>
        <w:widowControl/>
        <w:spacing w:line="360" w:lineRule="auto"/>
        <w:jc w:val="center"/>
        <w:rPr>
          <w:rFonts w:ascii="宋体" w:hAnsi="宋体" w:cs="宋体"/>
          <w:kern w:val="0"/>
          <w:szCs w:val="21"/>
        </w:rPr>
      </w:pPr>
      <w:r>
        <w:rPr>
          <w:rFonts w:ascii="宋体" w:hAnsi="宋体" w:cs="宋体"/>
          <w:b/>
          <w:bCs/>
          <w:kern w:val="0"/>
          <w:sz w:val="24"/>
        </w:rPr>
        <w:t>第</w:t>
      </w:r>
      <w:r>
        <w:rPr>
          <w:rFonts w:hint="eastAsia" w:ascii="宋体" w:hAnsi="宋体" w:cs="宋体"/>
          <w:b/>
          <w:bCs/>
          <w:kern w:val="0"/>
          <w:sz w:val="24"/>
        </w:rPr>
        <w:t>四</w:t>
      </w:r>
      <w:r>
        <w:rPr>
          <w:rFonts w:ascii="宋体" w:hAnsi="宋体" w:cs="宋体"/>
          <w:b/>
          <w:bCs/>
          <w:kern w:val="0"/>
          <w:sz w:val="24"/>
        </w:rPr>
        <w:t>部分  量分细则</w:t>
      </w:r>
    </w:p>
    <w:p>
      <w:pPr>
        <w:widowControl/>
        <w:spacing w:line="360" w:lineRule="auto"/>
        <w:ind w:firstLine="482" w:firstLineChars="200"/>
        <w:rPr>
          <w:rFonts w:ascii="宋体" w:hAnsi="宋体" w:cs="宋体"/>
          <w:b/>
          <w:kern w:val="0"/>
          <w:szCs w:val="21"/>
        </w:rPr>
      </w:pPr>
      <w:r>
        <w:rPr>
          <w:rFonts w:ascii="宋体" w:hAnsi="宋体" w:cs="宋体"/>
          <w:b/>
          <w:kern w:val="0"/>
          <w:sz w:val="24"/>
        </w:rPr>
        <w:t>一</w:t>
      </w:r>
      <w:r>
        <w:rPr>
          <w:rFonts w:hint="eastAsia" w:ascii="宋体" w:hAnsi="宋体" w:cs="宋体"/>
          <w:b/>
          <w:kern w:val="0"/>
          <w:sz w:val="24"/>
        </w:rPr>
        <w:t>、</w:t>
      </w:r>
      <w:r>
        <w:rPr>
          <w:rFonts w:ascii="宋体" w:hAnsi="宋体" w:cs="宋体"/>
          <w:b/>
          <w:kern w:val="0"/>
          <w:sz w:val="24"/>
        </w:rPr>
        <w:t>量分公式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（一）法学硕士、</w:t>
      </w:r>
      <w:r>
        <w:rPr>
          <w:rFonts w:ascii="宋体" w:hAnsi="宋体" w:cs="宋体"/>
          <w:kern w:val="0"/>
          <w:sz w:val="24"/>
        </w:rPr>
        <w:t>法律硕士</w:t>
      </w:r>
      <w:r>
        <w:rPr>
          <w:rFonts w:hint="eastAsia" w:ascii="宋体" w:hAnsi="宋体" w:cs="宋体"/>
          <w:kern w:val="0"/>
          <w:sz w:val="24"/>
        </w:rPr>
        <w:t>（法学）、</w:t>
      </w:r>
      <w:r>
        <w:rPr>
          <w:rFonts w:ascii="宋体" w:hAnsi="宋体" w:cs="宋体"/>
          <w:kern w:val="0"/>
          <w:sz w:val="24"/>
        </w:rPr>
        <w:t>直攻博士</w:t>
      </w:r>
      <w:r>
        <w:rPr>
          <w:rFonts w:hint="eastAsia" w:ascii="宋体" w:hAnsi="宋体" w:cs="宋体"/>
          <w:kern w:val="0"/>
          <w:sz w:val="24"/>
        </w:rPr>
        <w:t>一年级研究生：</w:t>
      </w:r>
    </w:p>
    <w:p>
      <w:pPr>
        <w:widowControl/>
        <w:spacing w:line="360" w:lineRule="auto"/>
        <w:ind w:firstLine="480" w:firstLineChars="200"/>
        <w:rPr>
          <w:rFonts w:ascii="宋体" w:hAnsi="宋体" w:cs="宋体"/>
          <w:kern w:val="0"/>
          <w:szCs w:val="21"/>
        </w:rPr>
      </w:pPr>
      <w:r>
        <w:rPr>
          <w:rFonts w:ascii="宋体" w:hAnsi="宋体" w:cs="宋体"/>
          <w:kern w:val="0"/>
          <w:sz w:val="24"/>
        </w:rPr>
        <w:t>总分=学习成绩加权平均分×30%+科研成绩</w:t>
      </w:r>
      <w:r>
        <w:rPr>
          <w:rFonts w:hint="eastAsia" w:ascii="宋体" w:hAnsi="宋体" w:cs="宋体"/>
          <w:kern w:val="0"/>
          <w:sz w:val="24"/>
        </w:rPr>
        <w:t>计分</w:t>
      </w:r>
      <w:r>
        <w:rPr>
          <w:rFonts w:ascii="宋体" w:hAnsi="宋体" w:cs="宋体"/>
          <w:kern w:val="0"/>
          <w:sz w:val="24"/>
        </w:rPr>
        <w:t>×50%+社会工作、文体项目等</w:t>
      </w:r>
      <w:r>
        <w:rPr>
          <w:rFonts w:hint="eastAsia" w:ascii="宋体" w:hAnsi="宋体" w:cs="宋体"/>
          <w:kern w:val="0"/>
          <w:sz w:val="24"/>
        </w:rPr>
        <w:t>计分</w:t>
      </w:r>
      <w:r>
        <w:rPr>
          <w:rFonts w:ascii="宋体" w:hAnsi="宋体" w:cs="宋体"/>
          <w:kern w:val="0"/>
          <w:sz w:val="24"/>
        </w:rPr>
        <w:t>×20%</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（二）法律硕士</w:t>
      </w:r>
      <w:r>
        <w:rPr>
          <w:rFonts w:ascii="宋体" w:hAnsi="宋体" w:cs="宋体"/>
          <w:kern w:val="0"/>
          <w:sz w:val="24"/>
        </w:rPr>
        <w:t>（</w:t>
      </w:r>
      <w:r>
        <w:rPr>
          <w:rFonts w:hint="eastAsia" w:ascii="宋体" w:hAnsi="宋体" w:cs="宋体"/>
          <w:kern w:val="0"/>
          <w:sz w:val="24"/>
        </w:rPr>
        <w:t>非法学</w:t>
      </w:r>
      <w:r>
        <w:rPr>
          <w:rFonts w:ascii="宋体" w:hAnsi="宋体" w:cs="宋体"/>
          <w:kern w:val="0"/>
          <w:sz w:val="24"/>
        </w:rPr>
        <w:t>）研究生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总分=</w:t>
      </w:r>
      <w:r>
        <w:rPr>
          <w:rFonts w:ascii="宋体" w:hAnsi="宋体" w:cs="宋体"/>
          <w:kern w:val="0"/>
          <w:sz w:val="24"/>
        </w:rPr>
        <w:t>学习成绩加权平均分×40%+科研成绩</w:t>
      </w:r>
      <w:r>
        <w:rPr>
          <w:rFonts w:hint="eastAsia" w:ascii="宋体" w:hAnsi="宋体" w:cs="宋体"/>
          <w:kern w:val="0"/>
          <w:sz w:val="24"/>
        </w:rPr>
        <w:t>计分</w:t>
      </w:r>
      <w:r>
        <w:rPr>
          <w:rFonts w:ascii="宋体" w:hAnsi="宋体" w:cs="宋体"/>
          <w:kern w:val="0"/>
          <w:sz w:val="24"/>
        </w:rPr>
        <w:t>×40%+社会工作、文体项目等</w:t>
      </w:r>
      <w:r>
        <w:rPr>
          <w:rFonts w:hint="eastAsia" w:ascii="宋体" w:hAnsi="宋体" w:cs="宋体"/>
          <w:kern w:val="0"/>
          <w:sz w:val="24"/>
        </w:rPr>
        <w:t>计分</w:t>
      </w:r>
      <w:r>
        <w:rPr>
          <w:rFonts w:ascii="宋体" w:hAnsi="宋体" w:cs="宋体"/>
          <w:kern w:val="0"/>
          <w:sz w:val="24"/>
        </w:rPr>
        <w:t>×20%</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（三）博士</w:t>
      </w:r>
      <w:r>
        <w:rPr>
          <w:rFonts w:ascii="宋体" w:hAnsi="宋体" w:cs="宋体"/>
          <w:kern w:val="0"/>
          <w:sz w:val="24"/>
        </w:rPr>
        <w:t>研究生（</w:t>
      </w:r>
      <w:r>
        <w:rPr>
          <w:rFonts w:hint="eastAsia" w:ascii="宋体" w:hAnsi="宋体" w:cs="宋体"/>
          <w:kern w:val="0"/>
          <w:sz w:val="24"/>
        </w:rPr>
        <w:t>直博</w:t>
      </w:r>
      <w:r>
        <w:rPr>
          <w:rFonts w:ascii="宋体" w:hAnsi="宋体" w:cs="宋体"/>
          <w:kern w:val="0"/>
          <w:sz w:val="24"/>
        </w:rPr>
        <w:t>一年级除外）</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总分</w:t>
      </w:r>
      <w:r>
        <w:rPr>
          <w:rFonts w:ascii="宋体" w:hAnsi="宋体" w:cs="宋体"/>
          <w:kern w:val="0"/>
          <w:sz w:val="24"/>
        </w:rPr>
        <w:t>=科研成绩</w:t>
      </w:r>
      <w:r>
        <w:rPr>
          <w:rFonts w:hint="eastAsia" w:ascii="宋体" w:hAnsi="宋体" w:cs="宋体"/>
          <w:kern w:val="0"/>
          <w:sz w:val="24"/>
        </w:rPr>
        <w:t>计分</w:t>
      </w:r>
      <w:r>
        <w:rPr>
          <w:rFonts w:ascii="宋体" w:hAnsi="宋体" w:cs="宋体"/>
          <w:kern w:val="0"/>
          <w:sz w:val="24"/>
        </w:rPr>
        <w:t>×80%+社会工作、文体项目等</w:t>
      </w:r>
      <w:r>
        <w:rPr>
          <w:rFonts w:hint="eastAsia" w:ascii="宋体" w:hAnsi="宋体" w:cs="宋体"/>
          <w:kern w:val="0"/>
          <w:sz w:val="24"/>
        </w:rPr>
        <w:t>计分</w:t>
      </w:r>
      <w:r>
        <w:rPr>
          <w:rFonts w:ascii="宋体" w:hAnsi="宋体" w:cs="宋体"/>
          <w:kern w:val="0"/>
          <w:sz w:val="24"/>
        </w:rPr>
        <w:t>×20%</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（四）量分公式</w:t>
      </w:r>
      <w:r>
        <w:rPr>
          <w:rFonts w:ascii="宋体" w:hAnsi="宋体" w:cs="宋体"/>
          <w:kern w:val="0"/>
          <w:sz w:val="24"/>
        </w:rPr>
        <w:t>依据</w:t>
      </w:r>
    </w:p>
    <w:p>
      <w:pPr>
        <w:widowControl/>
        <w:spacing w:line="360" w:lineRule="auto"/>
        <w:ind w:firstLine="480" w:firstLineChars="200"/>
        <w:rPr>
          <w:rFonts w:ascii="宋体" w:hAnsi="宋体" w:cs="宋体"/>
          <w:b/>
          <w:kern w:val="0"/>
          <w:sz w:val="24"/>
        </w:rPr>
      </w:pPr>
      <w:r>
        <w:rPr>
          <w:rFonts w:hint="eastAsia" w:ascii="宋体" w:hAnsi="宋体" w:cs="宋体"/>
          <w:kern w:val="0"/>
          <w:sz w:val="24"/>
        </w:rPr>
        <w:t>1.学习成绩包括：除</w:t>
      </w:r>
      <w:r>
        <w:rPr>
          <w:rFonts w:ascii="宋体" w:hAnsi="宋体" w:cs="宋体"/>
          <w:kern w:val="0"/>
          <w:sz w:val="24"/>
        </w:rPr>
        <w:t>法学前沿外所有课程都计入</w:t>
      </w:r>
      <w:r>
        <w:rPr>
          <w:rFonts w:hint="eastAsia" w:ascii="宋体" w:hAnsi="宋体" w:cs="宋体"/>
          <w:kern w:val="0"/>
          <w:sz w:val="24"/>
        </w:rPr>
        <w:t>，英语免修按85分计。等级</w:t>
      </w:r>
      <w:r>
        <w:rPr>
          <w:rFonts w:ascii="宋体" w:hAnsi="宋体" w:cs="宋体"/>
          <w:kern w:val="0"/>
          <w:sz w:val="24"/>
        </w:rPr>
        <w:t>制打分</w:t>
      </w:r>
      <w:r>
        <w:rPr>
          <w:rFonts w:hint="eastAsia" w:ascii="宋体" w:hAnsi="宋体" w:cs="宋体"/>
          <w:kern w:val="0"/>
          <w:sz w:val="24"/>
        </w:rPr>
        <w:t>折合</w:t>
      </w:r>
      <w:r>
        <w:rPr>
          <w:rFonts w:ascii="宋体" w:hAnsi="宋体" w:cs="宋体"/>
          <w:kern w:val="0"/>
          <w:sz w:val="24"/>
        </w:rPr>
        <w:t>成百分制：</w:t>
      </w:r>
      <w:r>
        <w:rPr>
          <w:rFonts w:hint="eastAsia" w:ascii="宋体" w:hAnsi="宋体" w:cs="宋体"/>
          <w:kern w:val="0"/>
          <w:sz w:val="24"/>
        </w:rPr>
        <w:t>优秀</w:t>
      </w:r>
      <w:r>
        <w:rPr>
          <w:rFonts w:ascii="宋体" w:hAnsi="宋体" w:cs="宋体"/>
          <w:kern w:val="0"/>
          <w:sz w:val="24"/>
        </w:rPr>
        <w:t>—90</w:t>
      </w:r>
      <w:r>
        <w:rPr>
          <w:rFonts w:hint="eastAsia" w:ascii="宋体" w:hAnsi="宋体" w:cs="宋体"/>
          <w:kern w:val="0"/>
          <w:sz w:val="24"/>
        </w:rPr>
        <w:t>分、</w:t>
      </w:r>
      <w:r>
        <w:rPr>
          <w:rFonts w:ascii="宋体" w:hAnsi="宋体" w:cs="宋体"/>
          <w:kern w:val="0"/>
          <w:sz w:val="24"/>
        </w:rPr>
        <w:t>良好</w:t>
      </w:r>
      <w:r>
        <w:rPr>
          <w:rFonts w:hint="eastAsia" w:ascii="宋体" w:hAnsi="宋体" w:cs="宋体"/>
          <w:kern w:val="0"/>
          <w:sz w:val="24"/>
        </w:rPr>
        <w:t>—80分、中等</w:t>
      </w:r>
      <w:r>
        <w:rPr>
          <w:rFonts w:ascii="宋体" w:hAnsi="宋体" w:cs="宋体"/>
          <w:kern w:val="0"/>
          <w:sz w:val="24"/>
        </w:rPr>
        <w:t>—70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及格</w:t>
      </w:r>
      <w:r>
        <w:rPr>
          <w:rFonts w:ascii="宋体" w:hAnsi="宋体" w:cs="宋体"/>
          <w:kern w:val="0"/>
          <w:sz w:val="24"/>
        </w:rPr>
        <w:t>（</w:t>
      </w:r>
      <w:r>
        <w:rPr>
          <w:rFonts w:hint="eastAsia" w:ascii="宋体" w:hAnsi="宋体" w:cs="宋体"/>
          <w:kern w:val="0"/>
          <w:sz w:val="24"/>
        </w:rPr>
        <w:t>合格</w:t>
      </w:r>
      <w:r>
        <w:rPr>
          <w:rFonts w:ascii="宋体" w:hAnsi="宋体" w:cs="宋体"/>
          <w:kern w:val="0"/>
          <w:sz w:val="24"/>
        </w:rPr>
        <w:t>）</w:t>
      </w:r>
      <w:r>
        <w:rPr>
          <w:rFonts w:hint="eastAsia" w:ascii="宋体" w:hAnsi="宋体" w:cs="宋体"/>
          <w:kern w:val="0"/>
          <w:sz w:val="24"/>
        </w:rPr>
        <w:t>—60分。</w:t>
      </w:r>
    </w:p>
    <w:p>
      <w:pPr>
        <w:widowControl/>
        <w:spacing w:line="360" w:lineRule="auto"/>
        <w:ind w:firstLine="480" w:firstLineChars="200"/>
        <w:rPr>
          <w:rFonts w:ascii="宋体" w:hAnsi="宋体" w:cs="宋体"/>
          <w:kern w:val="0"/>
          <w:szCs w:val="21"/>
        </w:rPr>
      </w:pPr>
      <w:r>
        <w:rPr>
          <w:rFonts w:hint="eastAsia" w:ascii="宋体" w:hAnsi="宋体" w:cs="宋体"/>
          <w:kern w:val="0"/>
          <w:sz w:val="24"/>
        </w:rPr>
        <w:t>2.</w:t>
      </w:r>
      <w:r>
        <w:rPr>
          <w:rFonts w:ascii="宋体" w:hAnsi="宋体" w:cs="宋体"/>
          <w:kern w:val="0"/>
          <w:sz w:val="24"/>
        </w:rPr>
        <w:t>科研成绩包括：</w:t>
      </w:r>
      <w:r>
        <w:rPr>
          <w:rFonts w:hint="eastAsia" w:ascii="宋体" w:hAnsi="宋体" w:cs="宋体"/>
          <w:kern w:val="0"/>
          <w:sz w:val="24"/>
        </w:rPr>
        <w:t>期刊</w:t>
      </w:r>
      <w:r>
        <w:rPr>
          <w:rFonts w:ascii="宋体" w:hAnsi="宋体" w:cs="宋体"/>
          <w:kern w:val="0"/>
          <w:sz w:val="24"/>
        </w:rPr>
        <w:t>论文</w:t>
      </w:r>
      <w:r>
        <w:rPr>
          <w:rFonts w:hint="eastAsia" w:ascii="宋体" w:hAnsi="宋体" w:cs="宋体"/>
          <w:kern w:val="0"/>
          <w:sz w:val="24"/>
        </w:rPr>
        <w:t>、学术会议主题</w:t>
      </w:r>
      <w:r>
        <w:rPr>
          <w:rFonts w:ascii="宋体" w:hAnsi="宋体" w:cs="宋体"/>
          <w:kern w:val="0"/>
          <w:sz w:val="24"/>
        </w:rPr>
        <w:t>发言和</w:t>
      </w:r>
      <w:r>
        <w:rPr>
          <w:rFonts w:hint="eastAsia" w:ascii="宋体" w:hAnsi="宋体" w:cs="宋体"/>
          <w:kern w:val="0"/>
          <w:sz w:val="24"/>
        </w:rPr>
        <w:t>论文、</w:t>
      </w:r>
      <w:r>
        <w:rPr>
          <w:rFonts w:ascii="宋体" w:hAnsi="宋体" w:cs="宋体"/>
          <w:kern w:val="0"/>
          <w:sz w:val="24"/>
        </w:rPr>
        <w:t>著作（含译著）</w:t>
      </w:r>
      <w:r>
        <w:rPr>
          <w:rFonts w:hint="eastAsia" w:ascii="宋体" w:hAnsi="宋体" w:cs="宋体"/>
          <w:kern w:val="0"/>
          <w:sz w:val="24"/>
        </w:rPr>
        <w:t>、主持或者参加课题、学术获奖计分</w:t>
      </w:r>
      <w:r>
        <w:rPr>
          <w:rFonts w:ascii="宋体" w:hAnsi="宋体" w:cs="宋体"/>
          <w:kern w:val="0"/>
          <w:sz w:val="24"/>
        </w:rPr>
        <w:t>和</w:t>
      </w:r>
      <w:r>
        <w:rPr>
          <w:rFonts w:hint="eastAsia" w:ascii="宋体" w:hAnsi="宋体" w:cs="宋体"/>
          <w:kern w:val="0"/>
          <w:sz w:val="24"/>
        </w:rPr>
        <w:t>参加学术</w:t>
      </w:r>
      <w:r>
        <w:rPr>
          <w:rFonts w:ascii="宋体" w:hAnsi="宋体" w:cs="宋体"/>
          <w:kern w:val="0"/>
          <w:sz w:val="24"/>
        </w:rPr>
        <w:t>竞赛</w:t>
      </w:r>
      <w:r>
        <w:rPr>
          <w:rFonts w:hint="eastAsia" w:ascii="宋体" w:hAnsi="宋体" w:cs="宋体"/>
          <w:kern w:val="0"/>
          <w:sz w:val="24"/>
        </w:rPr>
        <w:t>。</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社会工作包括：</w:t>
      </w:r>
      <w:r>
        <w:rPr>
          <w:rFonts w:hint="eastAsia" w:ascii="宋体" w:hAnsi="宋体" w:cs="宋体"/>
          <w:kern w:val="0"/>
          <w:sz w:val="24"/>
        </w:rPr>
        <w:t>在校、院两级各单位部门挂职或在</w:t>
      </w:r>
      <w:r>
        <w:rPr>
          <w:rFonts w:ascii="宋体" w:hAnsi="宋体" w:cs="宋体"/>
          <w:kern w:val="0"/>
          <w:sz w:val="24"/>
        </w:rPr>
        <w:t>研究生会</w:t>
      </w:r>
      <w:r>
        <w:rPr>
          <w:rFonts w:hint="eastAsia" w:ascii="宋体" w:hAnsi="宋体" w:cs="宋体"/>
          <w:kern w:val="0"/>
          <w:sz w:val="24"/>
        </w:rPr>
        <w:t>和博士生会、</w:t>
      </w:r>
      <w:r>
        <w:rPr>
          <w:rFonts w:ascii="宋体" w:hAnsi="宋体" w:cs="宋体"/>
          <w:kern w:val="0"/>
          <w:sz w:val="24"/>
        </w:rPr>
        <w:t>党支部</w:t>
      </w:r>
      <w:r>
        <w:rPr>
          <w:rFonts w:hint="eastAsia" w:ascii="宋体" w:hAnsi="宋体" w:cs="宋体"/>
          <w:kern w:val="0"/>
          <w:sz w:val="24"/>
        </w:rPr>
        <w:t>、</w:t>
      </w:r>
      <w:r>
        <w:rPr>
          <w:rFonts w:ascii="宋体" w:hAnsi="宋体" w:cs="宋体"/>
          <w:kern w:val="0"/>
          <w:sz w:val="24"/>
        </w:rPr>
        <w:t>团支部、班</w:t>
      </w:r>
      <w:r>
        <w:rPr>
          <w:rFonts w:hint="eastAsia" w:ascii="宋体" w:hAnsi="宋体" w:cs="宋体"/>
          <w:kern w:val="0"/>
          <w:sz w:val="24"/>
        </w:rPr>
        <w:t>级和</w:t>
      </w:r>
      <w:r>
        <w:rPr>
          <w:rFonts w:ascii="宋体" w:hAnsi="宋体" w:cs="宋体"/>
          <w:kern w:val="0"/>
          <w:sz w:val="24"/>
        </w:rPr>
        <w:t>学生社团等</w:t>
      </w:r>
      <w:r>
        <w:rPr>
          <w:rFonts w:hint="eastAsia" w:ascii="宋体" w:hAnsi="宋体" w:cs="宋体"/>
          <w:kern w:val="0"/>
          <w:sz w:val="24"/>
        </w:rPr>
        <w:t>任期满一年及以上的研究生干部。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文体项目包括：</w:t>
      </w:r>
      <w:r>
        <w:rPr>
          <w:rFonts w:hint="eastAsia" w:ascii="宋体" w:hAnsi="宋体" w:cs="宋体"/>
          <w:kern w:val="0"/>
          <w:sz w:val="24"/>
        </w:rPr>
        <w:t>学校</w:t>
      </w:r>
      <w:r>
        <w:rPr>
          <w:rFonts w:ascii="宋体" w:hAnsi="宋体" w:cs="宋体"/>
          <w:kern w:val="0"/>
          <w:sz w:val="24"/>
        </w:rPr>
        <w:t>综合</w:t>
      </w:r>
      <w:r>
        <w:rPr>
          <w:rFonts w:hint="eastAsia" w:ascii="宋体" w:hAnsi="宋体" w:cs="宋体"/>
          <w:kern w:val="0"/>
          <w:sz w:val="24"/>
        </w:rPr>
        <w:t>运动会（包括</w:t>
      </w:r>
      <w:r>
        <w:rPr>
          <w:rFonts w:ascii="宋体" w:hAnsi="宋体" w:cs="宋体"/>
          <w:kern w:val="0"/>
          <w:sz w:val="24"/>
        </w:rPr>
        <w:t>三好杯系列赛事）、DMB节、</w:t>
      </w:r>
      <w:r>
        <w:rPr>
          <w:rFonts w:hint="eastAsia" w:ascii="宋体" w:hAnsi="宋体" w:cs="宋体"/>
          <w:kern w:val="0"/>
          <w:sz w:val="24"/>
        </w:rPr>
        <w:t>文艺比赛</w:t>
      </w:r>
      <w:r>
        <w:rPr>
          <w:rFonts w:ascii="宋体" w:hAnsi="宋体" w:cs="宋体"/>
          <w:kern w:val="0"/>
          <w:sz w:val="24"/>
        </w:rPr>
        <w:t>等。</w:t>
      </w:r>
    </w:p>
    <w:p>
      <w:pPr>
        <w:widowControl/>
        <w:spacing w:line="360" w:lineRule="auto"/>
        <w:ind w:firstLine="480" w:firstLineChars="200"/>
        <w:rPr>
          <w:rFonts w:hint="eastAsia" w:ascii="宋体" w:hAnsi="宋体" w:cs="宋体"/>
          <w:kern w:val="0"/>
          <w:sz w:val="24"/>
        </w:rPr>
      </w:pPr>
    </w:p>
    <w:p>
      <w:pPr>
        <w:widowControl/>
        <w:spacing w:line="360" w:lineRule="auto"/>
        <w:ind w:firstLine="482" w:firstLineChars="200"/>
        <w:rPr>
          <w:rFonts w:ascii="宋体" w:hAnsi="宋体" w:cs="宋体"/>
          <w:b/>
          <w:kern w:val="0"/>
          <w:sz w:val="24"/>
        </w:rPr>
      </w:pPr>
      <w:r>
        <w:rPr>
          <w:rFonts w:ascii="宋体" w:hAnsi="宋体" w:cs="宋体"/>
          <w:b/>
          <w:kern w:val="0"/>
          <w:sz w:val="24"/>
        </w:rPr>
        <w:t>二</w:t>
      </w:r>
      <w:r>
        <w:rPr>
          <w:rFonts w:hint="eastAsia" w:ascii="宋体" w:hAnsi="宋体" w:cs="宋体"/>
          <w:b/>
          <w:kern w:val="0"/>
          <w:sz w:val="24"/>
        </w:rPr>
        <w:t>、</w:t>
      </w:r>
      <w:r>
        <w:rPr>
          <w:rFonts w:ascii="宋体" w:hAnsi="宋体" w:cs="宋体"/>
          <w:b/>
          <w:kern w:val="0"/>
          <w:sz w:val="24"/>
        </w:rPr>
        <w:t>具体量分办法</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（一）科研成绩计分：</w:t>
      </w:r>
      <w:r>
        <w:rPr>
          <w:rFonts w:ascii="宋体" w:hAnsi="宋体" w:cs="宋体"/>
          <w:b/>
          <w:kern w:val="0"/>
          <w:sz w:val="24"/>
        </w:rPr>
        <w:t>同一</w:t>
      </w:r>
      <w:r>
        <w:rPr>
          <w:rFonts w:hint="eastAsia" w:ascii="宋体" w:hAnsi="宋体" w:cs="宋体"/>
          <w:b/>
          <w:kern w:val="0"/>
          <w:sz w:val="24"/>
        </w:rPr>
        <w:t>科研成果</w:t>
      </w:r>
      <w:r>
        <w:rPr>
          <w:rFonts w:ascii="宋体" w:hAnsi="宋体" w:cs="宋体"/>
          <w:b/>
          <w:kern w:val="0"/>
          <w:sz w:val="24"/>
        </w:rPr>
        <w:t>，仅能划入</w:t>
      </w:r>
      <w:r>
        <w:rPr>
          <w:rFonts w:hint="eastAsia" w:ascii="宋体" w:hAnsi="宋体" w:cs="宋体"/>
          <w:b/>
          <w:kern w:val="0"/>
          <w:sz w:val="24"/>
        </w:rPr>
        <w:t>下列</w:t>
      </w:r>
      <w:r>
        <w:rPr>
          <w:rFonts w:ascii="宋体" w:hAnsi="宋体" w:cs="宋体"/>
          <w:b/>
          <w:kern w:val="0"/>
          <w:sz w:val="24"/>
        </w:rPr>
        <w:t>6</w:t>
      </w:r>
      <w:r>
        <w:rPr>
          <w:rFonts w:hint="eastAsia" w:ascii="宋体" w:hAnsi="宋体" w:cs="宋体"/>
          <w:b/>
          <w:kern w:val="0"/>
          <w:sz w:val="24"/>
        </w:rPr>
        <w:t>类计分项中的一类进行计分</w:t>
      </w:r>
      <w:r>
        <w:rPr>
          <w:rFonts w:ascii="宋体" w:hAnsi="宋体" w:cs="宋体"/>
          <w:b/>
          <w:kern w:val="0"/>
          <w:sz w:val="24"/>
        </w:rPr>
        <w:t>，原则上</w:t>
      </w:r>
      <w:r>
        <w:rPr>
          <w:rFonts w:hint="eastAsia" w:ascii="宋体" w:hAnsi="宋体" w:cs="宋体"/>
          <w:b/>
          <w:kern w:val="0"/>
          <w:sz w:val="24"/>
        </w:rPr>
        <w:t>以</w:t>
      </w:r>
      <w:r>
        <w:rPr>
          <w:rFonts w:ascii="宋体" w:hAnsi="宋体" w:cs="宋体"/>
          <w:b/>
          <w:kern w:val="0"/>
          <w:sz w:val="24"/>
        </w:rPr>
        <w:t>高分计。</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1.期刊</w:t>
      </w:r>
      <w:r>
        <w:rPr>
          <w:rFonts w:ascii="宋体" w:hAnsi="宋体" w:cs="宋体"/>
          <w:b/>
          <w:kern w:val="0"/>
          <w:sz w:val="24"/>
        </w:rPr>
        <w:t>论文计分</w:t>
      </w:r>
    </w:p>
    <w:tbl>
      <w:tblPr>
        <w:tblStyle w:val="10"/>
        <w:tblW w:w="8354" w:type="dxa"/>
        <w:jc w:val="center"/>
        <w:tblInd w:w="0" w:type="dxa"/>
        <w:tblLayout w:type="fixed"/>
        <w:tblCellMar>
          <w:top w:w="0" w:type="dxa"/>
          <w:left w:w="0" w:type="dxa"/>
          <w:bottom w:w="0" w:type="dxa"/>
          <w:right w:w="0" w:type="dxa"/>
        </w:tblCellMar>
      </w:tblPr>
      <w:tblGrid>
        <w:gridCol w:w="3405"/>
        <w:gridCol w:w="3956"/>
        <w:gridCol w:w="993"/>
      </w:tblGrid>
      <w:tr>
        <w:tblPrEx>
          <w:tblLayout w:type="fixed"/>
          <w:tblCellMar>
            <w:top w:w="0" w:type="dxa"/>
            <w:left w:w="0" w:type="dxa"/>
            <w:bottom w:w="0" w:type="dxa"/>
            <w:right w:w="0" w:type="dxa"/>
          </w:tblCellMar>
        </w:tblPrEx>
        <w:trPr>
          <w:jc w:val="center"/>
        </w:trPr>
        <w:tc>
          <w:tcPr>
            <w:tcW w:w="7361" w:type="dxa"/>
            <w:gridSpan w:val="2"/>
            <w:tcBorders>
              <w:top w:val="single" w:color="auto" w:sz="8" w:space="0"/>
              <w:left w:val="single" w:color="auto" w:sz="8" w:space="0"/>
              <w:bottom w:val="single" w:color="auto" w:sz="4" w:space="0"/>
              <w:right w:val="single" w:color="auto" w:sz="4" w:space="0"/>
            </w:tcBorders>
            <w:vAlign w:val="center"/>
          </w:tcPr>
          <w:p>
            <w:pPr>
              <w:widowControl/>
              <w:tabs>
                <w:tab w:val="center" w:pos="2025"/>
              </w:tabs>
              <w:spacing w:line="360" w:lineRule="auto"/>
              <w:jc w:val="center"/>
              <w:rPr>
                <w:rFonts w:ascii="宋体" w:hAnsi="宋体" w:cs="宋体"/>
                <w:b/>
                <w:kern w:val="0"/>
                <w:sz w:val="24"/>
              </w:rPr>
            </w:pPr>
            <w:r>
              <w:rPr>
                <w:rFonts w:hint="eastAsia" w:ascii="宋体" w:hAnsi="宋体" w:cs="宋体"/>
                <w:b/>
                <w:kern w:val="0"/>
                <w:sz w:val="24"/>
              </w:rPr>
              <w:t>刊物类别</w:t>
            </w:r>
          </w:p>
        </w:tc>
        <w:tc>
          <w:tcPr>
            <w:tcW w:w="993"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b/>
                <w:kern w:val="0"/>
                <w:sz w:val="24"/>
              </w:rPr>
            </w:pPr>
            <w:r>
              <w:rPr>
                <w:rFonts w:hint="eastAsia" w:ascii="宋体" w:hAnsi="宋体" w:cs="宋体"/>
                <w:b/>
                <w:kern w:val="0"/>
                <w:sz w:val="24"/>
              </w:rPr>
              <w:t>分值</w:t>
            </w:r>
          </w:p>
        </w:tc>
      </w:tr>
      <w:tr>
        <w:tblPrEx>
          <w:tblLayout w:type="fixed"/>
          <w:tblCellMar>
            <w:top w:w="0" w:type="dxa"/>
            <w:left w:w="0" w:type="dxa"/>
            <w:bottom w:w="0" w:type="dxa"/>
            <w:right w:w="0" w:type="dxa"/>
          </w:tblCellMar>
        </w:tblPrEx>
        <w:trPr>
          <w:trHeight w:val="495" w:hRule="atLeast"/>
          <w:jc w:val="center"/>
        </w:trPr>
        <w:tc>
          <w:tcPr>
            <w:tcW w:w="3405" w:type="dxa"/>
            <w:vMerge w:val="restart"/>
            <w:tcBorders>
              <w:top w:val="single" w:color="auto" w:sz="4" w:space="0"/>
              <w:left w:val="single" w:color="auto" w:sz="8"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权威期刊、</w:t>
            </w:r>
            <w:r>
              <w:rPr>
                <w:rFonts w:ascii="宋体" w:hAnsi="宋体" w:cs="宋体"/>
                <w:kern w:val="0"/>
                <w:sz w:val="24"/>
              </w:rPr>
              <w:t>SSCI</w:t>
            </w:r>
            <w:r>
              <w:rPr>
                <w:rFonts w:hint="eastAsia" w:ascii="宋体" w:hAnsi="宋体" w:cs="宋体"/>
                <w:kern w:val="0"/>
                <w:sz w:val="24"/>
              </w:rPr>
              <w:t>或</w:t>
            </w:r>
            <w:r>
              <w:rPr>
                <w:rFonts w:ascii="宋体" w:hAnsi="宋体" w:cs="宋体"/>
                <w:kern w:val="0"/>
                <w:sz w:val="24"/>
              </w:rPr>
              <w:t>SCI</w:t>
            </w:r>
            <w:r>
              <w:rPr>
                <w:rFonts w:hint="eastAsia" w:ascii="宋体" w:hAnsi="宋体" w:cs="宋体"/>
                <w:kern w:val="0"/>
                <w:sz w:val="24"/>
              </w:rPr>
              <w:t>、A&amp;HCI全文</w:t>
            </w:r>
            <w:r>
              <w:rPr>
                <w:rFonts w:ascii="宋体" w:hAnsi="宋体" w:cs="宋体"/>
                <w:kern w:val="0"/>
                <w:sz w:val="24"/>
              </w:rPr>
              <w:t>收录</w:t>
            </w:r>
            <w:r>
              <w:rPr>
                <w:rFonts w:hint="eastAsia" w:ascii="宋体" w:hAnsi="宋体" w:cs="宋体"/>
                <w:kern w:val="0"/>
                <w:sz w:val="24"/>
              </w:rPr>
              <w:t>的期刊</w:t>
            </w:r>
          </w:p>
        </w:tc>
        <w:tc>
          <w:tcPr>
            <w:tcW w:w="3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法学权威</w:t>
            </w:r>
            <w:r>
              <w:rPr>
                <w:rFonts w:ascii="宋体" w:hAnsi="宋体" w:cs="宋体"/>
                <w:kern w:val="0"/>
                <w:sz w:val="24"/>
              </w:rPr>
              <w:t>期刊：</w:t>
            </w:r>
            <w:r>
              <w:rPr>
                <w:rFonts w:hint="eastAsia" w:ascii="宋体" w:hAnsi="宋体" w:cs="宋体"/>
                <w:kern w:val="0"/>
                <w:sz w:val="24"/>
              </w:rPr>
              <w:t>中国</w:t>
            </w:r>
            <w:r>
              <w:rPr>
                <w:rFonts w:ascii="宋体" w:hAnsi="宋体" w:cs="宋体"/>
                <w:kern w:val="0"/>
                <w:sz w:val="24"/>
              </w:rPr>
              <w:t>社会科学、</w:t>
            </w:r>
            <w:r>
              <w:rPr>
                <w:rFonts w:hint="eastAsia" w:ascii="宋体" w:hAnsi="宋体" w:cs="宋体"/>
                <w:kern w:val="0"/>
                <w:sz w:val="24"/>
              </w:rPr>
              <w:t>法学</w:t>
            </w:r>
            <w:r>
              <w:rPr>
                <w:rFonts w:ascii="宋体" w:hAnsi="宋体" w:cs="宋体"/>
                <w:kern w:val="0"/>
                <w:sz w:val="24"/>
              </w:rPr>
              <w:t>研究、中国法学</w:t>
            </w:r>
            <w:r>
              <w:rPr>
                <w:rFonts w:hint="eastAsia" w:ascii="宋体" w:hAnsi="宋体" w:cs="宋体"/>
                <w:kern w:val="0"/>
                <w:sz w:val="24"/>
              </w:rPr>
              <w:t>、</w:t>
            </w:r>
            <w:r>
              <w:rPr>
                <w:rFonts w:ascii="宋体" w:hAnsi="宋体" w:cs="宋体"/>
                <w:kern w:val="0"/>
                <w:sz w:val="24"/>
              </w:rPr>
              <w:t>SSCI（</w:t>
            </w:r>
            <w:r>
              <w:rPr>
                <w:rFonts w:hint="eastAsia" w:ascii="宋体" w:hAnsi="宋体" w:cs="宋体"/>
                <w:kern w:val="0"/>
                <w:sz w:val="24"/>
              </w:rPr>
              <w:t>一级</w:t>
            </w:r>
            <w:r>
              <w:rPr>
                <w:rFonts w:ascii="宋体" w:hAnsi="宋体" w:cs="宋体"/>
                <w:kern w:val="0"/>
                <w:sz w:val="24"/>
              </w:rPr>
              <w:t>）</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r>
      <w:tr>
        <w:tblPrEx>
          <w:tblLayout w:type="fixed"/>
          <w:tblCellMar>
            <w:top w:w="0" w:type="dxa"/>
            <w:left w:w="0" w:type="dxa"/>
            <w:bottom w:w="0" w:type="dxa"/>
            <w:right w:w="0" w:type="dxa"/>
          </w:tblCellMar>
        </w:tblPrEx>
        <w:trPr>
          <w:trHeight w:val="435" w:hRule="atLeast"/>
          <w:jc w:val="center"/>
        </w:trPr>
        <w:tc>
          <w:tcPr>
            <w:tcW w:w="3405" w:type="dxa"/>
            <w:vMerge w:val="continue"/>
            <w:tcBorders>
              <w:left w:val="single" w:color="auto" w:sz="8"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p>
        </w:tc>
        <w:tc>
          <w:tcPr>
            <w:tcW w:w="3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其他同级</w:t>
            </w:r>
            <w:r>
              <w:rPr>
                <w:rFonts w:ascii="宋体" w:hAnsi="宋体" w:cs="宋体"/>
                <w:kern w:val="0"/>
                <w:sz w:val="24"/>
              </w:rPr>
              <w:t>期刊</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kern w:val="0"/>
                <w:sz w:val="24"/>
              </w:rPr>
            </w:pPr>
            <w:r>
              <w:rPr>
                <w:rFonts w:hint="eastAsia" w:ascii="宋体" w:hAnsi="宋体" w:cs="宋体"/>
                <w:kern w:val="0"/>
                <w:sz w:val="24"/>
              </w:rPr>
              <w:t>100</w:t>
            </w:r>
          </w:p>
        </w:tc>
      </w:tr>
      <w:tr>
        <w:tblPrEx>
          <w:tblLayout w:type="fixed"/>
          <w:tblCellMar>
            <w:top w:w="0" w:type="dxa"/>
            <w:left w:w="0" w:type="dxa"/>
            <w:bottom w:w="0" w:type="dxa"/>
            <w:right w:w="0" w:type="dxa"/>
          </w:tblCellMar>
        </w:tblPrEx>
        <w:trPr>
          <w:trHeight w:val="240" w:hRule="atLeast"/>
          <w:jc w:val="center"/>
        </w:trPr>
        <w:tc>
          <w:tcPr>
            <w:tcW w:w="3405" w:type="dxa"/>
            <w:vMerge w:val="restart"/>
            <w:tcBorders>
              <w:top w:val="single" w:color="auto" w:sz="4" w:space="0"/>
              <w:left w:val="single" w:color="auto" w:sz="8"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w:t>一级期刊</w:t>
            </w:r>
            <w:r>
              <w:rPr>
                <w:rFonts w:ascii="宋体" w:hAnsi="宋体" w:cs="宋体"/>
                <w:kern w:val="0"/>
                <w:sz w:val="24"/>
              </w:rPr>
              <w:t>、EI</w:t>
            </w:r>
            <w:r>
              <w:rPr>
                <w:rFonts w:hint="eastAsia" w:ascii="宋体" w:hAnsi="宋体" w:cs="宋体"/>
                <w:kern w:val="0"/>
                <w:sz w:val="24"/>
              </w:rPr>
              <w:t>全文</w:t>
            </w:r>
            <w:r>
              <w:rPr>
                <w:rFonts w:ascii="宋体" w:hAnsi="宋体" w:cs="宋体"/>
                <w:kern w:val="0"/>
                <w:sz w:val="24"/>
              </w:rPr>
              <w:t>收录</w:t>
            </w:r>
          </w:p>
        </w:tc>
        <w:tc>
          <w:tcPr>
            <w:tcW w:w="3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法学一级</w:t>
            </w:r>
            <w:r>
              <w:rPr>
                <w:rFonts w:ascii="宋体" w:hAnsi="宋体" w:cs="宋体"/>
                <w:kern w:val="0"/>
                <w:sz w:val="24"/>
              </w:rPr>
              <w:t>期刊：</w:t>
            </w:r>
            <w:r>
              <w:rPr>
                <w:rFonts w:hint="eastAsia" w:ascii="宋体" w:hAnsi="宋体" w:cs="宋体"/>
                <w:kern w:val="0"/>
                <w:sz w:val="24"/>
              </w:rPr>
              <w:t>中外</w:t>
            </w:r>
            <w:r>
              <w:rPr>
                <w:rFonts w:ascii="宋体" w:hAnsi="宋体" w:cs="宋体"/>
                <w:kern w:val="0"/>
                <w:sz w:val="24"/>
              </w:rPr>
              <w:t>法学、政法论坛</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80</w:t>
            </w:r>
          </w:p>
        </w:tc>
      </w:tr>
      <w:tr>
        <w:tblPrEx>
          <w:tblLayout w:type="fixed"/>
          <w:tblCellMar>
            <w:top w:w="0" w:type="dxa"/>
            <w:left w:w="0" w:type="dxa"/>
            <w:bottom w:w="0" w:type="dxa"/>
            <w:right w:w="0" w:type="dxa"/>
          </w:tblCellMar>
        </w:tblPrEx>
        <w:trPr>
          <w:trHeight w:val="225" w:hRule="atLeast"/>
          <w:jc w:val="center"/>
        </w:trPr>
        <w:tc>
          <w:tcPr>
            <w:tcW w:w="3405" w:type="dxa"/>
            <w:vMerge w:val="continue"/>
            <w:tcBorders>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4"/>
              </w:rPr>
            </w:pPr>
          </w:p>
        </w:tc>
        <w:tc>
          <w:tcPr>
            <w:tcW w:w="3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其他同级</w:t>
            </w:r>
            <w:r>
              <w:rPr>
                <w:rFonts w:ascii="宋体" w:hAnsi="宋体" w:cs="宋体"/>
                <w:kern w:val="0"/>
                <w:sz w:val="24"/>
              </w:rPr>
              <w:t>期刊</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kern w:val="0"/>
                <w:sz w:val="24"/>
              </w:rPr>
            </w:pPr>
            <w:r>
              <w:rPr>
                <w:rFonts w:hint="eastAsia" w:ascii="宋体" w:hAnsi="宋体" w:cs="宋体"/>
                <w:kern w:val="0"/>
                <w:sz w:val="24"/>
              </w:rPr>
              <w:t>60</w:t>
            </w:r>
          </w:p>
        </w:tc>
      </w:tr>
      <w:tr>
        <w:tblPrEx>
          <w:tblLayout w:type="fixed"/>
          <w:tblCellMar>
            <w:top w:w="0" w:type="dxa"/>
            <w:left w:w="0" w:type="dxa"/>
            <w:bottom w:w="0" w:type="dxa"/>
            <w:right w:w="0" w:type="dxa"/>
          </w:tblCellMar>
        </w:tblPrEx>
        <w:trPr>
          <w:trHeight w:val="450" w:hRule="atLeast"/>
          <w:jc w:val="center"/>
        </w:trPr>
        <w:tc>
          <w:tcPr>
            <w:tcW w:w="3405" w:type="dxa"/>
            <w:vMerge w:val="restart"/>
            <w:tcBorders>
              <w:top w:val="single" w:color="auto" w:sz="4" w:space="0"/>
              <w:left w:val="single" w:color="auto" w:sz="8"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w:t>核心期刊、CSSCI期刊、TSSCI期刊</w:t>
            </w:r>
          </w:p>
        </w:tc>
        <w:tc>
          <w:tcPr>
            <w:tcW w:w="3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w:t>法学核心</w:t>
            </w:r>
            <w:r>
              <w:rPr>
                <w:rFonts w:ascii="宋体" w:hAnsi="宋体" w:cs="宋体"/>
                <w:kern w:val="0"/>
                <w:sz w:val="24"/>
              </w:rPr>
              <w:t>期刊</w:t>
            </w:r>
            <w:r>
              <w:rPr>
                <w:rFonts w:hint="eastAsia" w:ascii="宋体" w:hAnsi="宋体" w:cs="宋体"/>
                <w:kern w:val="0"/>
                <w:sz w:val="24"/>
              </w:rPr>
              <w:t>：清华法学、法学家</w:t>
            </w:r>
            <w:r>
              <w:rPr>
                <w:rFonts w:ascii="宋体" w:hAnsi="宋体" w:cs="宋体"/>
                <w:kern w:val="0"/>
                <w:sz w:val="24"/>
              </w:rPr>
              <w:t>、法商研究、</w:t>
            </w:r>
            <w:r>
              <w:rPr>
                <w:rFonts w:hint="eastAsia" w:ascii="宋体" w:hAnsi="宋体" w:cs="宋体"/>
                <w:kern w:val="0"/>
                <w:sz w:val="24"/>
              </w:rPr>
              <w:t>法制</w:t>
            </w:r>
            <w:r>
              <w:rPr>
                <w:rFonts w:ascii="宋体" w:hAnsi="宋体" w:cs="宋体"/>
                <w:kern w:val="0"/>
                <w:sz w:val="24"/>
              </w:rPr>
              <w:t>与社会发展、现代法学、当代法学、法学</w:t>
            </w:r>
            <w:r>
              <w:rPr>
                <w:rFonts w:hint="eastAsia" w:ascii="宋体" w:hAnsi="宋体" w:cs="宋体"/>
                <w:kern w:val="0"/>
                <w:sz w:val="24"/>
              </w:rPr>
              <w:t>、</w:t>
            </w:r>
            <w:r>
              <w:rPr>
                <w:rFonts w:ascii="宋体" w:hAnsi="宋体" w:cs="宋体"/>
                <w:kern w:val="0"/>
                <w:sz w:val="24"/>
              </w:rPr>
              <w:t>法学</w:t>
            </w:r>
            <w:r>
              <w:rPr>
                <w:rFonts w:hint="eastAsia" w:ascii="宋体" w:hAnsi="宋体" w:cs="宋体"/>
                <w:kern w:val="0"/>
                <w:sz w:val="24"/>
              </w:rPr>
              <w:t>评论</w:t>
            </w:r>
            <w:r>
              <w:rPr>
                <w:rFonts w:ascii="宋体" w:hAnsi="宋体" w:cs="宋体"/>
                <w:kern w:val="0"/>
                <w:sz w:val="24"/>
              </w:rPr>
              <w:t>、法律科学（</w:t>
            </w:r>
            <w:r>
              <w:rPr>
                <w:rFonts w:hint="eastAsia" w:ascii="宋体" w:hAnsi="宋体" w:cs="宋体"/>
                <w:kern w:val="0"/>
                <w:sz w:val="24"/>
              </w:rPr>
              <w:t>西北政法大学学报</w:t>
            </w:r>
            <w:r>
              <w:rPr>
                <w:rFonts w:ascii="宋体" w:hAnsi="宋体" w:cs="宋体"/>
                <w:kern w:val="0"/>
                <w:sz w:val="24"/>
              </w:rPr>
              <w:t>）</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40</w:t>
            </w:r>
          </w:p>
        </w:tc>
      </w:tr>
      <w:tr>
        <w:tblPrEx>
          <w:tblLayout w:type="fixed"/>
          <w:tblCellMar>
            <w:top w:w="0" w:type="dxa"/>
            <w:left w:w="0" w:type="dxa"/>
            <w:bottom w:w="0" w:type="dxa"/>
            <w:right w:w="0" w:type="dxa"/>
          </w:tblCellMar>
        </w:tblPrEx>
        <w:trPr>
          <w:trHeight w:val="495" w:hRule="atLeast"/>
          <w:jc w:val="center"/>
        </w:trPr>
        <w:tc>
          <w:tcPr>
            <w:tcW w:w="3405" w:type="dxa"/>
            <w:vMerge w:val="continue"/>
            <w:tcBorders>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4"/>
              </w:rPr>
            </w:pPr>
          </w:p>
        </w:tc>
        <w:tc>
          <w:tcPr>
            <w:tcW w:w="3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w:t>其他同级</w:t>
            </w:r>
            <w:r>
              <w:rPr>
                <w:rFonts w:ascii="宋体" w:hAnsi="宋体" w:cs="宋体"/>
                <w:kern w:val="0"/>
                <w:sz w:val="24"/>
              </w:rPr>
              <w:t>期刊</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kern w:val="0"/>
                <w:sz w:val="24"/>
              </w:rPr>
            </w:pPr>
            <w:r>
              <w:rPr>
                <w:rFonts w:hint="eastAsia" w:ascii="宋体" w:hAnsi="宋体" w:cs="宋体"/>
                <w:kern w:val="0"/>
                <w:sz w:val="24"/>
              </w:rPr>
              <w:t>30</w:t>
            </w:r>
          </w:p>
        </w:tc>
      </w:tr>
      <w:tr>
        <w:tblPrEx>
          <w:tblLayout w:type="fixed"/>
          <w:tblCellMar>
            <w:top w:w="0" w:type="dxa"/>
            <w:left w:w="0" w:type="dxa"/>
            <w:bottom w:w="0" w:type="dxa"/>
            <w:right w:w="0" w:type="dxa"/>
          </w:tblCellMar>
        </w:tblPrEx>
        <w:trPr>
          <w:jc w:val="center"/>
        </w:trPr>
        <w:tc>
          <w:tcPr>
            <w:tcW w:w="7361" w:type="dxa"/>
            <w:gridSpan w:val="2"/>
            <w:tcBorders>
              <w:top w:val="single" w:color="auto" w:sz="4" w:space="0"/>
              <w:left w:val="single" w:color="auto" w:sz="8"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kern w:val="0"/>
                <w:sz w:val="24"/>
              </w:rPr>
              <w:t>CSSCI期刊扩展版、CSSCI期刊来源集刊</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20</w:t>
            </w:r>
          </w:p>
        </w:tc>
      </w:tr>
      <w:tr>
        <w:tblPrEx>
          <w:tblLayout w:type="fixed"/>
          <w:tblCellMar>
            <w:top w:w="0" w:type="dxa"/>
            <w:left w:w="0" w:type="dxa"/>
            <w:bottom w:w="0" w:type="dxa"/>
            <w:right w:w="0" w:type="dxa"/>
          </w:tblCellMar>
        </w:tblPrEx>
        <w:trPr>
          <w:cantSplit/>
          <w:trHeight w:val="405" w:hRule="atLeast"/>
          <w:jc w:val="center"/>
        </w:trPr>
        <w:tc>
          <w:tcPr>
            <w:tcW w:w="7361" w:type="dxa"/>
            <w:gridSpan w:val="2"/>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rPr>
                <w:rFonts w:ascii="宋体" w:hAnsi="宋体" w:cs="宋体"/>
                <w:kern w:val="0"/>
                <w:sz w:val="24"/>
              </w:rPr>
            </w:pPr>
            <w:r>
              <w:rPr>
                <w:rFonts w:hint="eastAsia" w:ascii="宋体" w:hAnsi="宋体" w:cs="宋体"/>
                <w:kern w:val="0"/>
                <w:sz w:val="24"/>
              </w:rPr>
              <w:t>其它期刊</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r>
    </w:tbl>
    <w:p>
      <w:pPr>
        <w:widowControl/>
        <w:spacing w:line="360" w:lineRule="auto"/>
        <w:rPr>
          <w:rFonts w:ascii="宋体" w:hAnsi="宋体" w:cs="宋体"/>
          <w:kern w:val="0"/>
          <w:szCs w:val="21"/>
        </w:rPr>
      </w:pPr>
      <w:r>
        <w:rPr>
          <w:rFonts w:ascii="宋体" w:hAnsi="宋体" w:cs="宋体"/>
          <w:kern w:val="0"/>
          <w:szCs w:val="21"/>
        </w:rPr>
        <w:t>注：</w:t>
      </w:r>
      <w:r>
        <w:rPr>
          <w:rFonts w:hint="eastAsia" w:ascii="宋体" w:hAnsi="宋体" w:cs="宋体"/>
          <w:kern w:val="0"/>
          <w:szCs w:val="21"/>
        </w:rPr>
        <w:t>（1）</w:t>
      </w:r>
      <w:r>
        <w:rPr>
          <w:rFonts w:ascii="宋体" w:hAnsi="宋体" w:cs="宋体"/>
          <w:kern w:val="0"/>
          <w:szCs w:val="21"/>
        </w:rPr>
        <w:t>在刊物上发表的论文字数一般应在</w:t>
      </w:r>
      <w:r>
        <w:rPr>
          <w:rFonts w:hint="eastAsia" w:ascii="宋体" w:hAnsi="宋体" w:cs="宋体"/>
          <w:kern w:val="0"/>
          <w:szCs w:val="21"/>
        </w:rPr>
        <w:t>3</w:t>
      </w:r>
      <w:r>
        <w:rPr>
          <w:rFonts w:ascii="宋体" w:hAnsi="宋体" w:cs="宋体"/>
          <w:kern w:val="0"/>
          <w:szCs w:val="21"/>
        </w:rPr>
        <w:t>000</w:t>
      </w:r>
      <w:r>
        <w:rPr>
          <w:rFonts w:hint="eastAsia" w:ascii="宋体" w:hAnsi="宋体" w:cs="宋体"/>
          <w:kern w:val="0"/>
          <w:szCs w:val="21"/>
        </w:rPr>
        <w:t>字</w:t>
      </w:r>
      <w:r>
        <w:rPr>
          <w:rFonts w:ascii="宋体" w:hAnsi="宋体" w:cs="宋体"/>
          <w:kern w:val="0"/>
          <w:szCs w:val="21"/>
        </w:rPr>
        <w:t>以上，不足的下靠一级计分</w:t>
      </w:r>
      <w:r>
        <w:rPr>
          <w:rFonts w:hint="eastAsia" w:ascii="宋体" w:hAnsi="宋体" w:cs="宋体"/>
          <w:kern w:val="0"/>
          <w:szCs w:val="21"/>
        </w:rPr>
        <w:t>，</w:t>
      </w:r>
      <w:r>
        <w:rPr>
          <w:rFonts w:ascii="宋体" w:hAnsi="宋体" w:cs="宋体"/>
          <w:kern w:val="0"/>
          <w:szCs w:val="21"/>
        </w:rPr>
        <w:t>刊物分类以</w:t>
      </w:r>
      <w:r>
        <w:rPr>
          <w:rFonts w:hint="eastAsia" w:ascii="宋体" w:hAnsi="宋体" w:cs="宋体"/>
          <w:kern w:val="0"/>
          <w:szCs w:val="21"/>
        </w:rPr>
        <w:t>CSSCI</w:t>
      </w:r>
      <w:r>
        <w:rPr>
          <w:rFonts w:ascii="宋体" w:hAnsi="宋体" w:cs="宋体"/>
          <w:kern w:val="0"/>
          <w:szCs w:val="21"/>
        </w:rPr>
        <w:t>、浙江大学人事处发</w:t>
      </w:r>
      <w:r>
        <w:rPr>
          <w:rFonts w:hint="eastAsia" w:ascii="宋体" w:hAnsi="宋体" w:cs="宋体"/>
          <w:kern w:val="0"/>
          <w:szCs w:val="21"/>
        </w:rPr>
        <w:t>《国内学术期刊名录•201</w:t>
      </w:r>
      <w:r>
        <w:rPr>
          <w:rFonts w:ascii="宋体" w:hAnsi="宋体" w:cs="宋体"/>
          <w:kern w:val="0"/>
          <w:szCs w:val="21"/>
        </w:rPr>
        <w:t>6</w:t>
      </w:r>
      <w:r>
        <w:rPr>
          <w:rFonts w:hint="eastAsia" w:ascii="宋体" w:hAnsi="宋体" w:cs="宋体"/>
          <w:kern w:val="0"/>
          <w:szCs w:val="21"/>
        </w:rPr>
        <w:t>年版</w:t>
      </w:r>
      <w:r>
        <w:rPr>
          <w:rFonts w:ascii="宋体" w:hAnsi="宋体" w:cs="宋体"/>
          <w:kern w:val="0"/>
          <w:szCs w:val="21"/>
        </w:rPr>
        <w:t>》</w:t>
      </w:r>
      <w:r>
        <w:rPr>
          <w:rFonts w:hint="eastAsia" w:ascii="宋体" w:hAnsi="宋体" w:cs="宋体"/>
          <w:kern w:val="0"/>
          <w:szCs w:val="21"/>
        </w:rPr>
        <w:t>、浙江大学研究生院刊物级别和</w:t>
      </w:r>
      <w:r>
        <w:rPr>
          <w:rFonts w:ascii="宋体" w:hAnsi="宋体" w:cs="宋体"/>
          <w:kern w:val="0"/>
          <w:szCs w:val="21"/>
        </w:rPr>
        <w:t>《</w:t>
      </w:r>
      <w:r>
        <w:rPr>
          <w:rFonts w:hint="eastAsia" w:ascii="宋体" w:hAnsi="宋体" w:cs="宋体"/>
          <w:kern w:val="0"/>
          <w:szCs w:val="21"/>
        </w:rPr>
        <w:t>浙江大学光华法学院重点学术期刊目录</w:t>
      </w:r>
      <w:r>
        <w:rPr>
          <w:rFonts w:ascii="宋体" w:hAnsi="宋体" w:cs="宋体"/>
          <w:kern w:val="0"/>
          <w:szCs w:val="21"/>
        </w:rPr>
        <w:t>》</w:t>
      </w:r>
      <w:r>
        <w:rPr>
          <w:rFonts w:hint="eastAsia" w:ascii="宋体" w:hAnsi="宋体" w:cs="宋体"/>
          <w:kern w:val="0"/>
          <w:szCs w:val="21"/>
        </w:rPr>
        <w:t>为准。若以上分类标准对某一期刊认定的级别不一，则以高计。</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（2）发表在《人民日报》、《光明日报》的学术版或理论版上的论文（3000字</w:t>
      </w:r>
      <w:r>
        <w:rPr>
          <w:rFonts w:ascii="宋体" w:hAnsi="宋体" w:cs="宋体"/>
          <w:kern w:val="0"/>
          <w:szCs w:val="21"/>
        </w:rPr>
        <w:t>以上</w:t>
      </w:r>
      <w:r>
        <w:rPr>
          <w:rFonts w:hint="eastAsia" w:ascii="宋体" w:hAnsi="宋体" w:cs="宋体"/>
          <w:kern w:val="0"/>
          <w:szCs w:val="21"/>
        </w:rPr>
        <w:t>），按核心期刊计。</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（3）《浙江大学法律</w:t>
      </w:r>
      <w:r>
        <w:rPr>
          <w:rFonts w:ascii="宋体" w:hAnsi="宋体" w:cs="宋体"/>
          <w:kern w:val="0"/>
          <w:szCs w:val="21"/>
        </w:rPr>
        <w:t>评论</w:t>
      </w:r>
      <w:r>
        <w:rPr>
          <w:rFonts w:hint="eastAsia" w:ascii="宋体" w:hAnsi="宋体" w:cs="宋体"/>
          <w:kern w:val="0"/>
          <w:szCs w:val="21"/>
        </w:rPr>
        <w:t>》以</w:t>
      </w:r>
      <w:r>
        <w:rPr>
          <w:rFonts w:ascii="宋体" w:hAnsi="宋体" w:cs="宋体"/>
          <w:kern w:val="0"/>
          <w:szCs w:val="21"/>
        </w:rPr>
        <w:t>核心期刊计分。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）若为</w:t>
      </w:r>
      <w:r>
        <w:rPr>
          <w:rFonts w:ascii="宋体" w:hAnsi="宋体" w:cs="宋体"/>
          <w:kern w:val="0"/>
          <w:szCs w:val="21"/>
        </w:rPr>
        <w:t>多人</w:t>
      </w:r>
      <w:r>
        <w:rPr>
          <w:rFonts w:hint="eastAsia" w:ascii="宋体" w:hAnsi="宋体" w:cs="宋体"/>
          <w:kern w:val="0"/>
          <w:szCs w:val="21"/>
        </w:rPr>
        <w:t>合著</w:t>
      </w:r>
      <w:r>
        <w:rPr>
          <w:rFonts w:ascii="宋体" w:hAnsi="宋体" w:cs="宋体"/>
          <w:kern w:val="0"/>
          <w:szCs w:val="21"/>
        </w:rPr>
        <w:t>的，</w:t>
      </w:r>
      <w:r>
        <w:rPr>
          <w:rFonts w:hint="eastAsia" w:ascii="宋体" w:hAnsi="宋体" w:cs="宋体"/>
          <w:kern w:val="0"/>
          <w:szCs w:val="21"/>
        </w:rPr>
        <w:t>分</w:t>
      </w:r>
      <w:r>
        <w:rPr>
          <w:rFonts w:ascii="宋体" w:hAnsi="宋体" w:cs="宋体"/>
          <w:kern w:val="0"/>
          <w:szCs w:val="21"/>
        </w:rPr>
        <w:t>如下情况：</w:t>
      </w:r>
      <w:r>
        <w:rPr>
          <w:rFonts w:hint="eastAsia" w:ascii="宋体" w:hAnsi="宋体" w:cs="宋体"/>
          <w:kern w:val="0"/>
          <w:szCs w:val="21"/>
        </w:rPr>
        <w:t>学生</w:t>
      </w:r>
      <w:r>
        <w:rPr>
          <w:rFonts w:ascii="宋体" w:hAnsi="宋体" w:cs="宋体"/>
          <w:kern w:val="0"/>
          <w:szCs w:val="21"/>
        </w:rPr>
        <w:t>合著</w:t>
      </w:r>
      <w:r>
        <w:rPr>
          <w:rFonts w:hint="eastAsia" w:ascii="宋体" w:hAnsi="宋体" w:cs="宋体"/>
          <w:kern w:val="0"/>
          <w:szCs w:val="21"/>
        </w:rPr>
        <w:t>，</w:t>
      </w:r>
      <w:r>
        <w:rPr>
          <w:rFonts w:ascii="宋体" w:hAnsi="宋体" w:cs="宋体"/>
          <w:kern w:val="0"/>
          <w:szCs w:val="21"/>
        </w:rPr>
        <w:t>二名作者的，第一作者系数为</w:t>
      </w:r>
      <w:r>
        <w:rPr>
          <w:rFonts w:hint="eastAsia" w:ascii="宋体" w:hAnsi="宋体" w:cs="宋体"/>
          <w:kern w:val="0"/>
          <w:szCs w:val="21"/>
        </w:rPr>
        <w:t>0.65，</w:t>
      </w:r>
      <w:r>
        <w:rPr>
          <w:rFonts w:ascii="宋体" w:hAnsi="宋体" w:cs="宋体"/>
          <w:kern w:val="0"/>
          <w:szCs w:val="21"/>
        </w:rPr>
        <w:t>第二作者</w:t>
      </w:r>
      <w:r>
        <w:rPr>
          <w:rFonts w:hint="eastAsia" w:ascii="宋体" w:hAnsi="宋体" w:cs="宋体"/>
          <w:kern w:val="0"/>
          <w:szCs w:val="21"/>
        </w:rPr>
        <w:t>0.35；</w:t>
      </w:r>
      <w:r>
        <w:rPr>
          <w:rFonts w:ascii="宋体" w:hAnsi="宋体" w:cs="宋体"/>
          <w:kern w:val="0"/>
          <w:szCs w:val="21"/>
        </w:rPr>
        <w:t>三人及以上的</w:t>
      </w:r>
      <w:r>
        <w:rPr>
          <w:rFonts w:hint="eastAsia" w:ascii="宋体" w:hAnsi="宋体" w:cs="宋体"/>
          <w:kern w:val="0"/>
          <w:szCs w:val="21"/>
        </w:rPr>
        <w:t>，</w:t>
      </w:r>
      <w:r>
        <w:rPr>
          <w:rFonts w:ascii="宋体" w:hAnsi="宋体" w:cs="宋体"/>
          <w:kern w:val="0"/>
          <w:szCs w:val="21"/>
        </w:rPr>
        <w:t>第一作者</w:t>
      </w:r>
      <w:r>
        <w:rPr>
          <w:rFonts w:hint="eastAsia" w:ascii="宋体" w:hAnsi="宋体" w:cs="宋体"/>
          <w:kern w:val="0"/>
          <w:szCs w:val="21"/>
        </w:rPr>
        <w:t>0.6，</w:t>
      </w:r>
      <w:r>
        <w:rPr>
          <w:rFonts w:ascii="宋体" w:hAnsi="宋体" w:cs="宋体"/>
          <w:kern w:val="0"/>
          <w:szCs w:val="21"/>
        </w:rPr>
        <w:t>第二作者</w:t>
      </w:r>
      <w:r>
        <w:rPr>
          <w:rFonts w:hint="eastAsia" w:ascii="宋体" w:hAnsi="宋体" w:cs="宋体"/>
          <w:kern w:val="0"/>
          <w:szCs w:val="21"/>
        </w:rPr>
        <w:t>0.3，</w:t>
      </w:r>
      <w:r>
        <w:rPr>
          <w:rFonts w:ascii="宋体" w:hAnsi="宋体" w:cs="宋体"/>
          <w:kern w:val="0"/>
          <w:szCs w:val="21"/>
        </w:rPr>
        <w:t>第三</w:t>
      </w:r>
      <w:r>
        <w:rPr>
          <w:rFonts w:hint="eastAsia" w:ascii="宋体" w:hAnsi="宋体" w:cs="宋体"/>
          <w:kern w:val="0"/>
          <w:szCs w:val="21"/>
        </w:rPr>
        <w:t>作者0.1，之后排名</w:t>
      </w:r>
      <w:r>
        <w:rPr>
          <w:rFonts w:ascii="宋体" w:hAnsi="宋体" w:cs="宋体"/>
          <w:kern w:val="0"/>
          <w:szCs w:val="21"/>
        </w:rPr>
        <w:t>作者不计</w:t>
      </w:r>
      <w:r>
        <w:rPr>
          <w:rFonts w:hint="eastAsia" w:ascii="宋体" w:hAnsi="宋体" w:cs="宋体"/>
          <w:kern w:val="0"/>
          <w:szCs w:val="21"/>
        </w:rPr>
        <w:t>；</w:t>
      </w:r>
      <w:r>
        <w:rPr>
          <w:rFonts w:ascii="宋体" w:hAnsi="宋体" w:cs="宋体"/>
          <w:kern w:val="0"/>
          <w:szCs w:val="21"/>
        </w:rPr>
        <w:t>若</w:t>
      </w:r>
      <w:r>
        <w:rPr>
          <w:rFonts w:hint="eastAsia" w:ascii="宋体" w:hAnsi="宋体" w:cs="宋体"/>
          <w:kern w:val="0"/>
          <w:szCs w:val="21"/>
        </w:rPr>
        <w:t>合作作者为法学院老师且</w:t>
      </w:r>
      <w:r>
        <w:rPr>
          <w:rFonts w:ascii="宋体" w:hAnsi="宋体" w:cs="宋体"/>
          <w:kern w:val="0"/>
          <w:szCs w:val="21"/>
        </w:rPr>
        <w:t>为第一作者，可将</w:t>
      </w:r>
      <w:r>
        <w:rPr>
          <w:rFonts w:hint="eastAsia" w:ascii="宋体" w:hAnsi="宋体" w:cs="宋体"/>
          <w:kern w:val="0"/>
          <w:szCs w:val="21"/>
        </w:rPr>
        <w:t>老师</w:t>
      </w:r>
      <w:r>
        <w:rPr>
          <w:rFonts w:ascii="宋体" w:hAnsi="宋体" w:cs="宋体"/>
          <w:kern w:val="0"/>
          <w:szCs w:val="21"/>
        </w:rPr>
        <w:t>排除后</w:t>
      </w:r>
      <w:r>
        <w:rPr>
          <w:rFonts w:hint="eastAsia" w:ascii="宋体" w:hAnsi="宋体" w:cs="宋体"/>
          <w:kern w:val="0"/>
          <w:szCs w:val="21"/>
        </w:rPr>
        <w:t>进行</w:t>
      </w:r>
      <w:r>
        <w:rPr>
          <w:rFonts w:ascii="宋体" w:hAnsi="宋体" w:cs="宋体"/>
          <w:kern w:val="0"/>
          <w:szCs w:val="21"/>
        </w:rPr>
        <w:t>排名，</w:t>
      </w:r>
      <w:r>
        <w:rPr>
          <w:rFonts w:hint="eastAsia" w:ascii="宋体" w:hAnsi="宋体" w:cs="宋体"/>
          <w:kern w:val="0"/>
          <w:szCs w:val="21"/>
        </w:rPr>
        <w:t>按上述</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w:t>
      </w:r>
      <w:r>
        <w:rPr>
          <w:rFonts w:ascii="宋体" w:hAnsi="宋体" w:cs="宋体"/>
          <w:kern w:val="0"/>
          <w:szCs w:val="21"/>
        </w:rPr>
        <w:t>7</w:t>
      </w:r>
      <w:r>
        <w:rPr>
          <w:rFonts w:hint="eastAsia" w:ascii="宋体" w:hAnsi="宋体" w:cs="宋体"/>
          <w:kern w:val="0"/>
          <w:szCs w:val="21"/>
        </w:rPr>
        <w:t>；若合作作者为非法学院的本校老师且为第一作者，可将老师排除后进行排名，按上述系数计算的分值乘以0.6；若合作作者非本校且为第一作者，则直接按照多人合著的顺序进行加分</w:t>
      </w:r>
      <w:r>
        <w:rPr>
          <w:rFonts w:ascii="宋体" w:hAnsi="宋体" w:cs="宋体"/>
          <w:kern w:val="0"/>
          <w:szCs w:val="21"/>
        </w:rPr>
        <w:t>。</w:t>
      </w:r>
    </w:p>
    <w:p>
      <w:pPr>
        <w:widowControl/>
        <w:spacing w:line="360" w:lineRule="auto"/>
        <w:ind w:firstLine="420" w:firstLineChars="200"/>
        <w:rPr>
          <w:rFonts w:ascii="宋体" w:hAnsi="宋体" w:cs="宋体"/>
          <w:color w:val="FF0000"/>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）发表与</w:t>
      </w:r>
      <w:r>
        <w:rPr>
          <w:rFonts w:ascii="宋体" w:hAnsi="宋体" w:cs="宋体"/>
          <w:kern w:val="0"/>
          <w:szCs w:val="21"/>
        </w:rPr>
        <w:t>录用</w:t>
      </w:r>
      <w:r>
        <w:rPr>
          <w:rFonts w:hint="eastAsia" w:ascii="宋体" w:hAnsi="宋体" w:cs="宋体"/>
          <w:kern w:val="0"/>
          <w:szCs w:val="21"/>
        </w:rPr>
        <w:t>的</w:t>
      </w:r>
      <w:r>
        <w:rPr>
          <w:rFonts w:ascii="宋体" w:hAnsi="宋体" w:cs="宋体"/>
          <w:kern w:val="0"/>
          <w:szCs w:val="21"/>
        </w:rPr>
        <w:t>有效时间段为</w:t>
      </w:r>
      <w:bookmarkStart w:id="0" w:name="OLE_LINK1"/>
      <w:bookmarkStart w:id="1" w:name="OLE_LINK2"/>
      <w:r>
        <w:rPr>
          <w:rFonts w:ascii="宋体" w:hAnsi="宋体" w:cs="宋体"/>
          <w:kern w:val="0"/>
          <w:szCs w:val="21"/>
        </w:rPr>
        <w:t>本学年</w:t>
      </w:r>
      <w:r>
        <w:rPr>
          <w:rFonts w:hint="eastAsia" w:ascii="宋体" w:hAnsi="宋体" w:cs="宋体"/>
          <w:kern w:val="0"/>
          <w:szCs w:val="21"/>
        </w:rPr>
        <w:t>内</w:t>
      </w:r>
      <w:r>
        <w:rPr>
          <w:rFonts w:ascii="宋体" w:hAnsi="宋体" w:cs="宋体"/>
          <w:kern w:val="0"/>
          <w:szCs w:val="21"/>
        </w:rPr>
        <w:t>，即</w:t>
      </w:r>
      <w:r>
        <w:rPr>
          <w:rFonts w:hint="eastAsia" w:ascii="宋体" w:hAnsi="宋体" w:cs="宋体"/>
          <w:kern w:val="0"/>
          <w:szCs w:val="21"/>
        </w:rPr>
        <w:t>上一年9月1日</w:t>
      </w:r>
      <w:r>
        <w:rPr>
          <w:rFonts w:ascii="宋体" w:hAnsi="宋体" w:cs="宋体"/>
          <w:kern w:val="0"/>
          <w:szCs w:val="21"/>
        </w:rPr>
        <w:t>至本年</w:t>
      </w:r>
      <w:r>
        <w:rPr>
          <w:rFonts w:hint="eastAsia" w:ascii="宋体" w:hAnsi="宋体" w:cs="宋体"/>
          <w:kern w:val="0"/>
          <w:szCs w:val="21"/>
        </w:rPr>
        <w:t>8月31日</w:t>
      </w:r>
      <w:r>
        <w:rPr>
          <w:rFonts w:ascii="宋体" w:hAnsi="宋体" w:cs="宋体"/>
          <w:kern w:val="0"/>
          <w:szCs w:val="21"/>
        </w:rPr>
        <w:t>。</w:t>
      </w:r>
      <w:bookmarkEnd w:id="0"/>
      <w:bookmarkEnd w:id="1"/>
      <w:r>
        <w:rPr>
          <w:rFonts w:hint="eastAsia" w:ascii="宋体" w:hAnsi="宋体" w:cs="宋体"/>
          <w:kern w:val="0"/>
          <w:szCs w:val="21"/>
        </w:rPr>
        <w:t>所</w:t>
      </w:r>
      <w:r>
        <w:rPr>
          <w:rFonts w:ascii="宋体" w:hAnsi="宋体" w:cs="宋体"/>
          <w:kern w:val="0"/>
          <w:szCs w:val="21"/>
        </w:rPr>
        <w:t>计分论文需在刊物上正式</w:t>
      </w:r>
      <w:r>
        <w:rPr>
          <w:rFonts w:hint="eastAsia" w:ascii="宋体" w:hAnsi="宋体" w:cs="宋体"/>
          <w:kern w:val="0"/>
          <w:szCs w:val="21"/>
        </w:rPr>
        <w:t>发表</w:t>
      </w:r>
      <w:r>
        <w:rPr>
          <w:rFonts w:ascii="宋体" w:hAnsi="宋体" w:cs="宋体"/>
          <w:kern w:val="0"/>
          <w:szCs w:val="21"/>
        </w:rPr>
        <w:t>（</w:t>
      </w:r>
      <w:r>
        <w:rPr>
          <w:rFonts w:hint="eastAsia" w:ascii="宋体" w:hAnsi="宋体" w:cs="宋体"/>
          <w:kern w:val="0"/>
          <w:szCs w:val="21"/>
        </w:rPr>
        <w:t>网上优先</w:t>
      </w:r>
      <w:r>
        <w:rPr>
          <w:rFonts w:ascii="宋体" w:hAnsi="宋体" w:cs="宋体"/>
          <w:kern w:val="0"/>
          <w:szCs w:val="21"/>
        </w:rPr>
        <w:t>发表视作正式发表）</w:t>
      </w:r>
      <w:r>
        <w:rPr>
          <w:rFonts w:hint="eastAsia" w:ascii="宋体" w:hAnsi="宋体" w:cs="宋体"/>
          <w:kern w:val="0"/>
          <w:szCs w:val="21"/>
        </w:rPr>
        <w:t>，</w:t>
      </w:r>
      <w:r>
        <w:rPr>
          <w:rFonts w:ascii="宋体" w:hAnsi="宋体" w:cs="宋体"/>
          <w:kern w:val="0"/>
          <w:szCs w:val="21"/>
        </w:rPr>
        <w:t>毕业班同学</w:t>
      </w:r>
      <w:r>
        <w:rPr>
          <w:rFonts w:hint="eastAsia" w:ascii="宋体" w:hAnsi="宋体" w:cs="宋体"/>
          <w:kern w:val="0"/>
          <w:szCs w:val="21"/>
        </w:rPr>
        <w:t>在评奖评优通知公布之日（含）为止</w:t>
      </w:r>
      <w:r>
        <w:rPr>
          <w:rFonts w:ascii="宋体" w:hAnsi="宋体" w:cs="宋体"/>
          <w:kern w:val="0"/>
          <w:szCs w:val="21"/>
        </w:rPr>
        <w:t>已</w:t>
      </w:r>
      <w:r>
        <w:rPr>
          <w:rFonts w:hint="eastAsia" w:ascii="宋体" w:hAnsi="宋体" w:cs="宋体"/>
          <w:kern w:val="0"/>
          <w:szCs w:val="21"/>
        </w:rPr>
        <w:t>确定</w:t>
      </w:r>
      <w:r>
        <w:rPr>
          <w:rFonts w:ascii="宋体" w:hAnsi="宋体" w:cs="宋体"/>
          <w:kern w:val="0"/>
          <w:szCs w:val="21"/>
        </w:rPr>
        <w:t>被录用论文可视作已发表。</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）在2016年12月前投稿原《国内学术期刊目录•2012版》核心期刊的学术论文，在2020年12月之前申报</w:t>
      </w:r>
      <w:r>
        <w:rPr>
          <w:rFonts w:ascii="宋体" w:hAnsi="宋体" w:cs="宋体"/>
          <w:kern w:val="0"/>
          <w:szCs w:val="21"/>
        </w:rPr>
        <w:t>奖项的，</w:t>
      </w:r>
      <w:r>
        <w:rPr>
          <w:rFonts w:hint="eastAsia" w:ascii="宋体" w:hAnsi="宋体" w:cs="宋体"/>
          <w:kern w:val="0"/>
          <w:szCs w:val="21"/>
        </w:rPr>
        <w:t>仍然有效，此后不再适用。</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）评奖</w:t>
      </w:r>
      <w:r>
        <w:rPr>
          <w:rFonts w:ascii="宋体" w:hAnsi="宋体" w:cs="宋体"/>
          <w:kern w:val="0"/>
          <w:szCs w:val="21"/>
        </w:rPr>
        <w:t>年度内</w:t>
      </w:r>
      <w:r>
        <w:rPr>
          <w:rFonts w:hint="eastAsia" w:ascii="宋体" w:hAnsi="宋体" w:cs="宋体"/>
          <w:kern w:val="0"/>
          <w:szCs w:val="21"/>
        </w:rPr>
        <w:t>其他期刊</w:t>
      </w:r>
      <w:r>
        <w:rPr>
          <w:rFonts w:ascii="宋体" w:hAnsi="宋体" w:cs="宋体"/>
          <w:kern w:val="0"/>
          <w:szCs w:val="21"/>
        </w:rPr>
        <w:t>加分</w:t>
      </w:r>
      <w:r>
        <w:rPr>
          <w:rFonts w:hint="eastAsia" w:ascii="宋体" w:hAnsi="宋体" w:cs="宋体"/>
          <w:kern w:val="0"/>
          <w:szCs w:val="21"/>
        </w:rPr>
        <w:t>总和</w:t>
      </w:r>
      <w:r>
        <w:rPr>
          <w:rFonts w:ascii="宋体" w:hAnsi="宋体" w:cs="宋体"/>
          <w:kern w:val="0"/>
          <w:szCs w:val="21"/>
        </w:rPr>
        <w:t>不超过</w:t>
      </w:r>
      <w:r>
        <w:rPr>
          <w:rFonts w:hint="eastAsia" w:ascii="宋体" w:hAnsi="宋体" w:cs="宋体"/>
          <w:kern w:val="0"/>
          <w:szCs w:val="21"/>
        </w:rPr>
        <w:t>80分</w:t>
      </w:r>
      <w:r>
        <w:rPr>
          <w:rFonts w:ascii="宋体" w:hAnsi="宋体" w:cs="宋体"/>
          <w:kern w:val="0"/>
          <w:szCs w:val="21"/>
        </w:rPr>
        <w:t>。</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）非法学内容的期刊论文计分提请评审委员会认定。</w:t>
      </w:r>
    </w:p>
    <w:p>
      <w:pPr>
        <w:widowControl/>
        <w:spacing w:line="360" w:lineRule="auto"/>
        <w:ind w:firstLine="420" w:firstLineChars="200"/>
        <w:rPr>
          <w:rFonts w:hint="eastAsia" w:ascii="宋体" w:hAnsi="宋体" w:cs="宋体"/>
          <w:color w:val="FF0000"/>
          <w:kern w:val="0"/>
          <w:szCs w:val="21"/>
        </w:rPr>
      </w:pPr>
    </w:p>
    <w:p>
      <w:pPr>
        <w:widowControl/>
        <w:spacing w:line="360" w:lineRule="auto"/>
        <w:ind w:firstLine="482" w:firstLineChars="200"/>
        <w:rPr>
          <w:rFonts w:ascii="宋体" w:hAnsi="宋体" w:cs="宋体"/>
          <w:b/>
          <w:kern w:val="0"/>
          <w:szCs w:val="21"/>
        </w:rPr>
      </w:pPr>
      <w:r>
        <w:rPr>
          <w:rFonts w:hint="eastAsia" w:ascii="宋体" w:hAnsi="宋体" w:cs="宋体"/>
          <w:b/>
          <w:kern w:val="0"/>
          <w:sz w:val="24"/>
        </w:rPr>
        <w:t>2.学术会议主题</w:t>
      </w:r>
      <w:r>
        <w:rPr>
          <w:rFonts w:ascii="宋体" w:hAnsi="宋体" w:cs="宋体"/>
          <w:b/>
          <w:kern w:val="0"/>
          <w:sz w:val="24"/>
        </w:rPr>
        <w:t>发言和论文计分</w:t>
      </w:r>
    </w:p>
    <w:tbl>
      <w:tblPr>
        <w:tblStyle w:val="10"/>
        <w:tblpPr w:leftFromText="180" w:rightFromText="180" w:vertAnchor="text" w:horzAnchor="margin" w:tblpXSpec="center" w:tblpY="232"/>
        <w:tblW w:w="6759" w:type="dxa"/>
        <w:tblInd w:w="0" w:type="dxa"/>
        <w:tblLayout w:type="fixed"/>
        <w:tblCellMar>
          <w:top w:w="0" w:type="dxa"/>
          <w:left w:w="0" w:type="dxa"/>
          <w:bottom w:w="0" w:type="dxa"/>
          <w:right w:w="0" w:type="dxa"/>
        </w:tblCellMar>
      </w:tblPr>
      <w:tblGrid>
        <w:gridCol w:w="1586"/>
        <w:gridCol w:w="1666"/>
        <w:gridCol w:w="1754"/>
        <w:gridCol w:w="1753"/>
      </w:tblGrid>
      <w:tr>
        <w:tblPrEx>
          <w:tblLayout w:type="fixed"/>
          <w:tblCellMar>
            <w:top w:w="0" w:type="dxa"/>
            <w:left w:w="0" w:type="dxa"/>
            <w:bottom w:w="0" w:type="dxa"/>
            <w:right w:w="0" w:type="dxa"/>
          </w:tblCellMar>
        </w:tblPrEx>
        <w:tc>
          <w:tcPr>
            <w:tcW w:w="3252" w:type="dxa"/>
            <w:gridSpan w:val="2"/>
            <w:tcBorders>
              <w:top w:val="single" w:color="000000" w:sz="8" w:space="0"/>
              <w:left w:val="single" w:color="000000" w:sz="8"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b/>
                <w:kern w:val="0"/>
                <w:sz w:val="24"/>
              </w:rPr>
            </w:pPr>
            <w:r>
              <w:rPr>
                <w:rFonts w:hint="eastAsia" w:ascii="宋体" w:hAnsi="宋体" w:cs="宋体"/>
                <w:b/>
                <w:kern w:val="0"/>
                <w:sz w:val="24"/>
              </w:rPr>
              <w:t>会议论文类别</w:t>
            </w:r>
          </w:p>
        </w:tc>
        <w:tc>
          <w:tcPr>
            <w:tcW w:w="1754" w:type="dxa"/>
            <w:tcBorders>
              <w:top w:val="single" w:color="000000" w:sz="8" w:space="0"/>
              <w:left w:val="nil"/>
              <w:bottom w:val="single" w:color="000000" w:sz="8"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b/>
                <w:kern w:val="0"/>
                <w:sz w:val="24"/>
              </w:rPr>
            </w:pPr>
            <w:r>
              <w:rPr>
                <w:rFonts w:hint="eastAsia" w:ascii="宋体" w:hAnsi="宋体" w:cs="宋体"/>
                <w:b/>
                <w:kern w:val="0"/>
                <w:sz w:val="24"/>
              </w:rPr>
              <w:t>分值</w:t>
            </w:r>
          </w:p>
        </w:tc>
        <w:tc>
          <w:tcPr>
            <w:tcW w:w="17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b/>
                <w:kern w:val="0"/>
                <w:sz w:val="24"/>
              </w:rPr>
            </w:pPr>
            <w:r>
              <w:rPr>
                <w:rFonts w:hint="eastAsia" w:ascii="宋体" w:hAnsi="宋体" w:cs="宋体"/>
                <w:b/>
                <w:kern w:val="0"/>
                <w:sz w:val="24"/>
              </w:rPr>
              <w:t>作报告人</w:t>
            </w:r>
          </w:p>
        </w:tc>
      </w:tr>
      <w:tr>
        <w:tblPrEx>
          <w:tblLayout w:type="fixed"/>
          <w:tblCellMar>
            <w:top w:w="0" w:type="dxa"/>
            <w:left w:w="0" w:type="dxa"/>
            <w:bottom w:w="0" w:type="dxa"/>
            <w:right w:w="0" w:type="dxa"/>
          </w:tblCellMar>
        </w:tblPrEx>
        <w:tc>
          <w:tcPr>
            <w:tcW w:w="158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国际会议</w:t>
            </w:r>
          </w:p>
        </w:tc>
        <w:tc>
          <w:tcPr>
            <w:tcW w:w="1666" w:type="dxa"/>
            <w:tcBorders>
              <w:top w:val="nil"/>
              <w:left w:val="single" w:color="auto" w:sz="4"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公开出版</w:t>
            </w:r>
          </w:p>
        </w:tc>
        <w:tc>
          <w:tcPr>
            <w:tcW w:w="1754" w:type="dxa"/>
            <w:tcBorders>
              <w:top w:val="single" w:color="000000" w:sz="8" w:space="0"/>
              <w:left w:val="nil"/>
              <w:bottom w:val="single" w:color="000000" w:sz="8"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40</w:t>
            </w:r>
          </w:p>
        </w:tc>
        <w:tc>
          <w:tcPr>
            <w:tcW w:w="175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80</w:t>
            </w:r>
          </w:p>
        </w:tc>
      </w:tr>
      <w:tr>
        <w:tblPrEx>
          <w:tblLayout w:type="fixed"/>
          <w:tblCellMar>
            <w:top w:w="0" w:type="dxa"/>
            <w:left w:w="0" w:type="dxa"/>
            <w:bottom w:w="0" w:type="dxa"/>
            <w:right w:w="0" w:type="dxa"/>
          </w:tblCellMar>
        </w:tblPrEx>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2025"/>
              </w:tabs>
              <w:spacing w:line="360" w:lineRule="auto"/>
              <w:jc w:val="center"/>
              <w:rPr>
                <w:rFonts w:ascii="宋体" w:hAnsi="宋体" w:cs="宋体"/>
                <w:kern w:val="0"/>
                <w:sz w:val="24"/>
              </w:rPr>
            </w:pPr>
          </w:p>
        </w:tc>
        <w:tc>
          <w:tcPr>
            <w:tcW w:w="1666" w:type="dxa"/>
            <w:tcBorders>
              <w:top w:val="nil"/>
              <w:left w:val="single" w:color="auto" w:sz="4"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非公开出版</w:t>
            </w:r>
          </w:p>
        </w:tc>
        <w:tc>
          <w:tcPr>
            <w:tcW w:w="1754" w:type="dxa"/>
            <w:tcBorders>
              <w:top w:val="single" w:color="000000" w:sz="8" w:space="0"/>
              <w:left w:val="nil"/>
              <w:bottom w:val="single" w:color="000000" w:sz="8"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20</w:t>
            </w:r>
          </w:p>
        </w:tc>
        <w:tc>
          <w:tcPr>
            <w:tcW w:w="175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p>
        </w:tc>
      </w:tr>
      <w:tr>
        <w:tblPrEx>
          <w:tblLayout w:type="fixed"/>
          <w:tblCellMar>
            <w:top w:w="0" w:type="dxa"/>
            <w:left w:w="0" w:type="dxa"/>
            <w:bottom w:w="0" w:type="dxa"/>
            <w:right w:w="0" w:type="dxa"/>
          </w:tblCellMar>
        </w:tblPrEx>
        <w:tc>
          <w:tcPr>
            <w:tcW w:w="158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全国性会议</w:t>
            </w:r>
          </w:p>
        </w:tc>
        <w:tc>
          <w:tcPr>
            <w:tcW w:w="1666" w:type="dxa"/>
            <w:tcBorders>
              <w:top w:val="nil"/>
              <w:left w:val="single" w:color="auto" w:sz="4"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公开出版</w:t>
            </w:r>
          </w:p>
        </w:tc>
        <w:tc>
          <w:tcPr>
            <w:tcW w:w="1754" w:type="dxa"/>
            <w:tcBorders>
              <w:top w:val="single" w:color="000000" w:sz="8" w:space="0"/>
              <w:left w:val="nil"/>
              <w:bottom w:val="single" w:color="000000" w:sz="8"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20</w:t>
            </w:r>
          </w:p>
        </w:tc>
        <w:tc>
          <w:tcPr>
            <w:tcW w:w="175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40</w:t>
            </w:r>
          </w:p>
        </w:tc>
      </w:tr>
      <w:tr>
        <w:tblPrEx>
          <w:tblLayout w:type="fixed"/>
          <w:tblCellMar>
            <w:top w:w="0" w:type="dxa"/>
            <w:left w:w="0" w:type="dxa"/>
            <w:bottom w:w="0" w:type="dxa"/>
            <w:right w:w="0" w:type="dxa"/>
          </w:tblCellMar>
        </w:tblPrEx>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2025"/>
              </w:tabs>
              <w:spacing w:line="360" w:lineRule="auto"/>
              <w:jc w:val="center"/>
              <w:rPr>
                <w:rFonts w:ascii="宋体" w:hAnsi="宋体" w:cs="宋体"/>
                <w:kern w:val="0"/>
                <w:sz w:val="24"/>
              </w:rPr>
            </w:pPr>
          </w:p>
        </w:tc>
        <w:tc>
          <w:tcPr>
            <w:tcW w:w="1666" w:type="dxa"/>
            <w:tcBorders>
              <w:top w:val="nil"/>
              <w:left w:val="single" w:color="auto" w:sz="4"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非公开出版</w:t>
            </w:r>
          </w:p>
        </w:tc>
        <w:tc>
          <w:tcPr>
            <w:tcW w:w="1754" w:type="dxa"/>
            <w:tcBorders>
              <w:top w:val="nil"/>
              <w:left w:val="nil"/>
              <w:bottom w:val="single" w:color="000000" w:sz="8"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10</w:t>
            </w:r>
          </w:p>
        </w:tc>
        <w:tc>
          <w:tcPr>
            <w:tcW w:w="175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p>
        </w:tc>
      </w:tr>
      <w:tr>
        <w:tblPrEx>
          <w:tblLayout w:type="fixed"/>
          <w:tblCellMar>
            <w:top w:w="0" w:type="dxa"/>
            <w:left w:w="0" w:type="dxa"/>
            <w:bottom w:w="0" w:type="dxa"/>
            <w:right w:w="0" w:type="dxa"/>
          </w:tblCellMar>
        </w:tblPrEx>
        <w:tc>
          <w:tcPr>
            <w:tcW w:w="1586" w:type="dxa"/>
            <w:vMerge w:val="restart"/>
            <w:tcBorders>
              <w:top w:val="single" w:color="auto" w:sz="4" w:space="0"/>
              <w:left w:val="single" w:color="000000" w:sz="8" w:space="0"/>
              <w:bottom w:val="single" w:color="auto" w:sz="4"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省级会议</w:t>
            </w:r>
          </w:p>
        </w:tc>
        <w:tc>
          <w:tcPr>
            <w:tcW w:w="1666" w:type="dxa"/>
            <w:tcBorders>
              <w:top w:val="nil"/>
              <w:left w:val="nil"/>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公开出版</w:t>
            </w:r>
          </w:p>
        </w:tc>
        <w:tc>
          <w:tcPr>
            <w:tcW w:w="1754" w:type="dxa"/>
            <w:tcBorders>
              <w:top w:val="nil"/>
              <w:left w:val="nil"/>
              <w:bottom w:val="single" w:color="000000" w:sz="8"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10</w:t>
            </w:r>
          </w:p>
        </w:tc>
        <w:tc>
          <w:tcPr>
            <w:tcW w:w="175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20</w:t>
            </w:r>
          </w:p>
        </w:tc>
      </w:tr>
      <w:tr>
        <w:tblPrEx>
          <w:tblLayout w:type="fixed"/>
          <w:tblCellMar>
            <w:top w:w="0" w:type="dxa"/>
            <w:left w:w="0" w:type="dxa"/>
            <w:bottom w:w="0" w:type="dxa"/>
            <w:right w:w="0" w:type="dxa"/>
          </w:tblCellMar>
        </w:tblPrEx>
        <w:tc>
          <w:tcPr>
            <w:tcW w:w="1586" w:type="dxa"/>
            <w:vMerge w:val="continue"/>
            <w:tcBorders>
              <w:top w:val="single" w:color="auto" w:sz="4" w:space="0"/>
              <w:left w:val="single" w:color="000000" w:sz="8" w:space="0"/>
              <w:bottom w:val="single" w:color="auto" w:sz="4" w:space="0"/>
              <w:right w:val="single" w:color="000000" w:sz="8" w:space="0"/>
            </w:tcBorders>
            <w:vAlign w:val="center"/>
          </w:tcPr>
          <w:p>
            <w:pPr>
              <w:widowControl/>
              <w:tabs>
                <w:tab w:val="center" w:pos="2025"/>
              </w:tabs>
              <w:spacing w:line="360" w:lineRule="auto"/>
              <w:jc w:val="center"/>
              <w:rPr>
                <w:rFonts w:ascii="宋体" w:hAnsi="宋体" w:cs="宋体"/>
                <w:kern w:val="0"/>
                <w:sz w:val="24"/>
              </w:rPr>
            </w:pPr>
          </w:p>
        </w:tc>
        <w:tc>
          <w:tcPr>
            <w:tcW w:w="1666" w:type="dxa"/>
            <w:tcBorders>
              <w:top w:val="nil"/>
              <w:left w:val="nil"/>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非公开出版</w:t>
            </w:r>
          </w:p>
        </w:tc>
        <w:tc>
          <w:tcPr>
            <w:tcW w:w="1754" w:type="dxa"/>
            <w:tcBorders>
              <w:top w:val="nil"/>
              <w:left w:val="nil"/>
              <w:bottom w:val="single" w:color="000000" w:sz="8"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5</w:t>
            </w:r>
          </w:p>
        </w:tc>
        <w:tc>
          <w:tcPr>
            <w:tcW w:w="175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p>
        </w:tc>
      </w:tr>
      <w:tr>
        <w:tblPrEx>
          <w:tblLayout w:type="fixed"/>
          <w:tblCellMar>
            <w:top w:w="0" w:type="dxa"/>
            <w:left w:w="0" w:type="dxa"/>
            <w:bottom w:w="0" w:type="dxa"/>
            <w:right w:w="0" w:type="dxa"/>
          </w:tblCellMar>
        </w:tblPrEx>
        <w:tc>
          <w:tcPr>
            <w:tcW w:w="1586" w:type="dxa"/>
            <w:vMerge w:val="restart"/>
            <w:tcBorders>
              <w:top w:val="single" w:color="auto" w:sz="4" w:space="0"/>
              <w:left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其他会议</w:t>
            </w:r>
          </w:p>
        </w:tc>
        <w:tc>
          <w:tcPr>
            <w:tcW w:w="1666" w:type="dxa"/>
            <w:tcBorders>
              <w:top w:val="nil"/>
              <w:left w:val="nil"/>
              <w:bottom w:val="single" w:color="000000" w:sz="8" w:space="0"/>
              <w:right w:val="single" w:color="auto" w:sz="4"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公开出版</w:t>
            </w:r>
          </w:p>
        </w:tc>
        <w:tc>
          <w:tcPr>
            <w:tcW w:w="1754" w:type="dxa"/>
            <w:tcBorders>
              <w:top w:val="nil"/>
              <w:left w:val="nil"/>
              <w:bottom w:val="single" w:color="000000" w:sz="8" w:space="0"/>
              <w:right w:val="single" w:color="auto" w:sz="4"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5</w:t>
            </w:r>
          </w:p>
        </w:tc>
        <w:tc>
          <w:tcPr>
            <w:tcW w:w="1753" w:type="dxa"/>
            <w:vMerge w:val="restart"/>
            <w:tcBorders>
              <w:top w:val="single" w:color="auto" w:sz="4" w:space="0"/>
              <w:left w:val="single" w:color="auto" w:sz="4" w:space="0"/>
              <w:right w:val="single" w:color="auto" w:sz="4"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10</w:t>
            </w:r>
          </w:p>
        </w:tc>
      </w:tr>
      <w:tr>
        <w:tblPrEx>
          <w:tblLayout w:type="fixed"/>
          <w:tblCellMar>
            <w:top w:w="0" w:type="dxa"/>
            <w:left w:w="0" w:type="dxa"/>
            <w:bottom w:w="0" w:type="dxa"/>
            <w:right w:w="0" w:type="dxa"/>
          </w:tblCellMar>
        </w:tblPrEx>
        <w:tc>
          <w:tcPr>
            <w:tcW w:w="1586" w:type="dxa"/>
            <w:vMerge w:val="continue"/>
            <w:tcBorders>
              <w:left w:val="single" w:color="000000" w:sz="8"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p>
        </w:tc>
        <w:tc>
          <w:tcPr>
            <w:tcW w:w="1666" w:type="dxa"/>
            <w:tcBorders>
              <w:top w:val="nil"/>
              <w:left w:val="nil"/>
              <w:bottom w:val="single" w:color="000000" w:sz="8" w:space="0"/>
              <w:right w:val="single" w:color="auto" w:sz="4"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非公开出版</w:t>
            </w:r>
          </w:p>
        </w:tc>
        <w:tc>
          <w:tcPr>
            <w:tcW w:w="1754" w:type="dxa"/>
            <w:tcBorders>
              <w:top w:val="nil"/>
              <w:left w:val="nil"/>
              <w:bottom w:val="single" w:color="000000" w:sz="8" w:space="0"/>
              <w:right w:val="single" w:color="auto" w:sz="4"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3</w:t>
            </w:r>
          </w:p>
        </w:tc>
        <w:tc>
          <w:tcPr>
            <w:tcW w:w="1753" w:type="dxa"/>
            <w:vMerge w:val="continue"/>
            <w:tcBorders>
              <w:left w:val="single" w:color="auto" w:sz="4" w:space="0"/>
              <w:bottom w:val="single" w:color="auto" w:sz="4" w:space="0"/>
              <w:right w:val="single" w:color="auto" w:sz="4" w:space="0"/>
            </w:tcBorders>
            <w:vAlign w:val="center"/>
          </w:tcPr>
          <w:p>
            <w:pPr>
              <w:widowControl/>
              <w:tabs>
                <w:tab w:val="center" w:pos="2025"/>
              </w:tabs>
              <w:spacing w:line="360" w:lineRule="auto"/>
              <w:jc w:val="center"/>
              <w:rPr>
                <w:rFonts w:ascii="宋体" w:hAnsi="宋体" w:cs="宋体"/>
                <w:kern w:val="0"/>
                <w:sz w:val="24"/>
              </w:rPr>
            </w:pPr>
          </w:p>
        </w:tc>
      </w:tr>
    </w:tbl>
    <w:p>
      <w:pPr>
        <w:widowControl/>
        <w:spacing w:line="360" w:lineRule="auto"/>
        <w:rPr>
          <w:rFonts w:ascii="宋体" w:hAnsi="宋体" w:cs="宋体"/>
          <w:kern w:val="0"/>
          <w:szCs w:val="21"/>
        </w:rPr>
      </w:pPr>
    </w:p>
    <w:p>
      <w:pPr>
        <w:pStyle w:val="7"/>
        <w:spacing w:before="0" w:beforeAutospacing="0" w:after="0" w:afterAutospacing="0"/>
        <w:jc w:val="both"/>
        <w:rPr>
          <w:sz w:val="21"/>
          <w:szCs w:val="21"/>
        </w:rPr>
      </w:pPr>
    </w:p>
    <w:p>
      <w:pPr>
        <w:pStyle w:val="7"/>
        <w:spacing w:before="0" w:beforeAutospacing="0" w:after="0" w:afterAutospacing="0"/>
        <w:jc w:val="both"/>
        <w:rPr>
          <w:sz w:val="21"/>
          <w:szCs w:val="21"/>
        </w:rPr>
      </w:pPr>
    </w:p>
    <w:p>
      <w:pPr>
        <w:pStyle w:val="7"/>
        <w:spacing w:before="0" w:beforeAutospacing="0" w:after="0" w:afterAutospacing="0"/>
        <w:jc w:val="both"/>
        <w:rPr>
          <w:sz w:val="21"/>
          <w:szCs w:val="21"/>
        </w:rPr>
      </w:pPr>
    </w:p>
    <w:p>
      <w:pPr>
        <w:widowControl/>
        <w:spacing w:line="360" w:lineRule="auto"/>
        <w:rPr>
          <w:rFonts w:ascii="宋体" w:hAnsi="宋体" w:cs="宋体"/>
          <w:bCs/>
          <w:kern w:val="0"/>
          <w:szCs w:val="21"/>
        </w:rPr>
      </w:pPr>
    </w:p>
    <w:p>
      <w:pPr>
        <w:widowControl/>
        <w:spacing w:line="360" w:lineRule="auto"/>
        <w:rPr>
          <w:rFonts w:ascii="宋体" w:hAnsi="宋体" w:cs="宋体"/>
          <w:bCs/>
          <w:kern w:val="0"/>
          <w:szCs w:val="21"/>
        </w:rPr>
      </w:pPr>
    </w:p>
    <w:p>
      <w:pPr>
        <w:widowControl/>
        <w:spacing w:line="360" w:lineRule="auto"/>
        <w:rPr>
          <w:rFonts w:ascii="宋体" w:hAnsi="宋体" w:cs="宋体"/>
          <w:bCs/>
          <w:kern w:val="0"/>
          <w:szCs w:val="21"/>
        </w:rPr>
      </w:pPr>
    </w:p>
    <w:p>
      <w:pPr>
        <w:widowControl/>
        <w:spacing w:line="360" w:lineRule="auto"/>
        <w:rPr>
          <w:rFonts w:ascii="宋体" w:hAnsi="宋体" w:cs="宋体"/>
          <w:bCs/>
          <w:kern w:val="0"/>
          <w:szCs w:val="21"/>
        </w:rPr>
      </w:pPr>
    </w:p>
    <w:p>
      <w:pPr>
        <w:widowControl/>
        <w:spacing w:line="360" w:lineRule="auto"/>
        <w:rPr>
          <w:rFonts w:ascii="宋体" w:hAnsi="宋体" w:cs="宋体"/>
          <w:bCs/>
          <w:kern w:val="0"/>
          <w:szCs w:val="21"/>
        </w:rPr>
      </w:pPr>
    </w:p>
    <w:p>
      <w:pPr>
        <w:widowControl/>
        <w:spacing w:line="360" w:lineRule="auto"/>
        <w:rPr>
          <w:rFonts w:ascii="宋体" w:hAnsi="宋体" w:cs="宋体"/>
          <w:bCs/>
          <w:kern w:val="0"/>
          <w:szCs w:val="21"/>
        </w:rPr>
      </w:pPr>
    </w:p>
    <w:p>
      <w:pPr>
        <w:widowControl/>
        <w:spacing w:line="360" w:lineRule="auto"/>
        <w:rPr>
          <w:rFonts w:ascii="宋体" w:hAnsi="宋体" w:cs="宋体"/>
          <w:bCs/>
          <w:kern w:val="0"/>
          <w:szCs w:val="21"/>
        </w:rPr>
      </w:pPr>
    </w:p>
    <w:p>
      <w:pPr>
        <w:widowControl/>
        <w:spacing w:line="360" w:lineRule="auto"/>
        <w:rPr>
          <w:rFonts w:ascii="宋体" w:hAnsi="宋体" w:cs="宋体"/>
          <w:bCs/>
          <w:kern w:val="0"/>
          <w:szCs w:val="21"/>
        </w:rPr>
      </w:pPr>
      <w:r>
        <w:rPr>
          <w:rFonts w:ascii="宋体" w:hAnsi="宋体" w:cs="宋体"/>
          <w:bCs/>
          <w:kern w:val="0"/>
          <w:szCs w:val="21"/>
        </w:rPr>
        <w:t>注</w:t>
      </w:r>
      <w:r>
        <w:rPr>
          <w:rFonts w:hint="eastAsia" w:ascii="宋体" w:hAnsi="宋体" w:cs="宋体"/>
          <w:bCs/>
          <w:kern w:val="0"/>
          <w:szCs w:val="21"/>
        </w:rPr>
        <w:t>：</w:t>
      </w:r>
      <w:r>
        <w:rPr>
          <w:rFonts w:hint="eastAsia" w:ascii="宋体" w:hAnsi="宋体" w:cs="宋体"/>
          <w:kern w:val="0"/>
          <w:szCs w:val="21"/>
        </w:rPr>
        <w:t>（1）会议级别的认定原则上根据主办方单位</w:t>
      </w:r>
      <w:r>
        <w:rPr>
          <w:rFonts w:ascii="宋体" w:hAnsi="宋体" w:cs="宋体"/>
          <w:kern w:val="0"/>
          <w:szCs w:val="21"/>
        </w:rPr>
        <w:t>级</w:t>
      </w:r>
      <w:r>
        <w:rPr>
          <w:rFonts w:hint="eastAsia" w:ascii="宋体" w:hAnsi="宋体" w:cs="宋体"/>
          <w:kern w:val="0"/>
          <w:szCs w:val="21"/>
        </w:rPr>
        <w:t>别，由评审委员会认定；</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（2）在学术会议或论坛上作主题报告人的，需提供会议主办方出具的正式邀请函以及会议日程安排；</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（3）在学术会议或论坛上发表的论文字数一般应在3000字以上，不足的下靠一级加分；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（4）论文若为</w:t>
      </w:r>
      <w:r>
        <w:rPr>
          <w:rFonts w:ascii="宋体" w:hAnsi="宋体" w:cs="宋体"/>
          <w:kern w:val="0"/>
          <w:szCs w:val="21"/>
        </w:rPr>
        <w:t>多人</w:t>
      </w:r>
      <w:r>
        <w:rPr>
          <w:rFonts w:hint="eastAsia" w:ascii="宋体" w:hAnsi="宋体" w:cs="宋体"/>
          <w:kern w:val="0"/>
          <w:szCs w:val="21"/>
        </w:rPr>
        <w:t>合著</w:t>
      </w:r>
      <w:r>
        <w:rPr>
          <w:rFonts w:ascii="宋体" w:hAnsi="宋体" w:cs="宋体"/>
          <w:kern w:val="0"/>
          <w:szCs w:val="21"/>
        </w:rPr>
        <w:t>的，</w:t>
      </w:r>
      <w:r>
        <w:rPr>
          <w:rFonts w:hint="eastAsia" w:ascii="宋体" w:hAnsi="宋体" w:cs="宋体"/>
          <w:kern w:val="0"/>
          <w:szCs w:val="21"/>
        </w:rPr>
        <w:t>分</w:t>
      </w:r>
      <w:r>
        <w:rPr>
          <w:rFonts w:ascii="宋体" w:hAnsi="宋体" w:cs="宋体"/>
          <w:kern w:val="0"/>
          <w:szCs w:val="21"/>
        </w:rPr>
        <w:t>如下情况：</w:t>
      </w:r>
      <w:r>
        <w:rPr>
          <w:rFonts w:hint="eastAsia" w:ascii="宋体" w:hAnsi="宋体" w:cs="宋体"/>
          <w:kern w:val="0"/>
          <w:szCs w:val="21"/>
        </w:rPr>
        <w:t>学生</w:t>
      </w:r>
      <w:r>
        <w:rPr>
          <w:rFonts w:ascii="宋体" w:hAnsi="宋体" w:cs="宋体"/>
          <w:kern w:val="0"/>
          <w:szCs w:val="21"/>
        </w:rPr>
        <w:t>合著</w:t>
      </w:r>
      <w:r>
        <w:rPr>
          <w:rFonts w:hint="eastAsia" w:ascii="宋体" w:hAnsi="宋体" w:cs="宋体"/>
          <w:kern w:val="0"/>
          <w:szCs w:val="21"/>
        </w:rPr>
        <w:t>，两</w:t>
      </w:r>
      <w:r>
        <w:rPr>
          <w:rFonts w:ascii="宋体" w:hAnsi="宋体" w:cs="宋体"/>
          <w:kern w:val="0"/>
          <w:szCs w:val="21"/>
        </w:rPr>
        <w:t>名作者的，第一作者系数为</w:t>
      </w:r>
      <w:r>
        <w:rPr>
          <w:rFonts w:hint="eastAsia" w:ascii="宋体" w:hAnsi="宋体" w:cs="宋体"/>
          <w:kern w:val="0"/>
          <w:szCs w:val="21"/>
        </w:rPr>
        <w:t>0.65，</w:t>
      </w:r>
      <w:r>
        <w:rPr>
          <w:rFonts w:ascii="宋体" w:hAnsi="宋体" w:cs="宋体"/>
          <w:kern w:val="0"/>
          <w:szCs w:val="21"/>
        </w:rPr>
        <w:t>第二作者</w:t>
      </w:r>
      <w:r>
        <w:rPr>
          <w:rFonts w:hint="eastAsia" w:ascii="宋体" w:hAnsi="宋体" w:cs="宋体"/>
          <w:kern w:val="0"/>
          <w:szCs w:val="21"/>
        </w:rPr>
        <w:t>0.35；</w:t>
      </w:r>
      <w:r>
        <w:rPr>
          <w:rFonts w:ascii="宋体" w:hAnsi="宋体" w:cs="宋体"/>
          <w:kern w:val="0"/>
          <w:szCs w:val="21"/>
        </w:rPr>
        <w:t>三人及以上的</w:t>
      </w:r>
      <w:r>
        <w:rPr>
          <w:rFonts w:hint="eastAsia" w:ascii="宋体" w:hAnsi="宋体" w:cs="宋体"/>
          <w:kern w:val="0"/>
          <w:szCs w:val="21"/>
        </w:rPr>
        <w:t>，</w:t>
      </w:r>
      <w:r>
        <w:rPr>
          <w:rFonts w:ascii="宋体" w:hAnsi="宋体" w:cs="宋体"/>
          <w:kern w:val="0"/>
          <w:szCs w:val="21"/>
        </w:rPr>
        <w:t>第一作者</w:t>
      </w:r>
      <w:r>
        <w:rPr>
          <w:rFonts w:hint="eastAsia" w:ascii="宋体" w:hAnsi="宋体" w:cs="宋体"/>
          <w:kern w:val="0"/>
          <w:szCs w:val="21"/>
        </w:rPr>
        <w:t>0.6，</w:t>
      </w:r>
      <w:r>
        <w:rPr>
          <w:rFonts w:ascii="宋体" w:hAnsi="宋体" w:cs="宋体"/>
          <w:kern w:val="0"/>
          <w:szCs w:val="21"/>
        </w:rPr>
        <w:t>第二作者</w:t>
      </w:r>
      <w:r>
        <w:rPr>
          <w:rFonts w:hint="eastAsia" w:ascii="宋体" w:hAnsi="宋体" w:cs="宋体"/>
          <w:kern w:val="0"/>
          <w:szCs w:val="21"/>
        </w:rPr>
        <w:t>0.3，</w:t>
      </w:r>
      <w:r>
        <w:rPr>
          <w:rFonts w:ascii="宋体" w:hAnsi="宋体" w:cs="宋体"/>
          <w:kern w:val="0"/>
          <w:szCs w:val="21"/>
        </w:rPr>
        <w:t>第三</w:t>
      </w:r>
      <w:r>
        <w:rPr>
          <w:rFonts w:hint="eastAsia" w:ascii="宋体" w:hAnsi="宋体" w:cs="宋体"/>
          <w:kern w:val="0"/>
          <w:szCs w:val="21"/>
        </w:rPr>
        <w:t>作者0.1，之后排名</w:t>
      </w:r>
      <w:r>
        <w:rPr>
          <w:rFonts w:ascii="宋体" w:hAnsi="宋体" w:cs="宋体"/>
          <w:kern w:val="0"/>
          <w:szCs w:val="21"/>
        </w:rPr>
        <w:t>作者不计</w:t>
      </w:r>
      <w:r>
        <w:rPr>
          <w:rFonts w:hint="eastAsia" w:ascii="宋体" w:hAnsi="宋体" w:cs="宋体"/>
          <w:kern w:val="0"/>
          <w:szCs w:val="21"/>
        </w:rPr>
        <w:t>；</w:t>
      </w:r>
      <w:r>
        <w:rPr>
          <w:rFonts w:ascii="宋体" w:hAnsi="宋体" w:cs="宋体"/>
          <w:kern w:val="0"/>
          <w:szCs w:val="21"/>
        </w:rPr>
        <w:t>若</w:t>
      </w:r>
      <w:r>
        <w:rPr>
          <w:rFonts w:hint="eastAsia" w:ascii="宋体" w:hAnsi="宋体" w:cs="宋体"/>
          <w:kern w:val="0"/>
          <w:szCs w:val="21"/>
        </w:rPr>
        <w:t>合作作者为法学院老师且</w:t>
      </w:r>
      <w:r>
        <w:rPr>
          <w:rFonts w:ascii="宋体" w:hAnsi="宋体" w:cs="宋体"/>
          <w:kern w:val="0"/>
          <w:szCs w:val="21"/>
        </w:rPr>
        <w:t>为第一作者，可将</w:t>
      </w:r>
      <w:r>
        <w:rPr>
          <w:rFonts w:hint="eastAsia" w:ascii="宋体" w:hAnsi="宋体" w:cs="宋体"/>
          <w:kern w:val="0"/>
          <w:szCs w:val="21"/>
        </w:rPr>
        <w:t>老师</w:t>
      </w:r>
      <w:r>
        <w:rPr>
          <w:rFonts w:ascii="宋体" w:hAnsi="宋体" w:cs="宋体"/>
          <w:kern w:val="0"/>
          <w:szCs w:val="21"/>
        </w:rPr>
        <w:t>排除后</w:t>
      </w:r>
      <w:r>
        <w:rPr>
          <w:rFonts w:hint="eastAsia" w:ascii="宋体" w:hAnsi="宋体" w:cs="宋体"/>
          <w:kern w:val="0"/>
          <w:szCs w:val="21"/>
        </w:rPr>
        <w:t>进行</w:t>
      </w:r>
      <w:r>
        <w:rPr>
          <w:rFonts w:ascii="宋体" w:hAnsi="宋体" w:cs="宋体"/>
          <w:kern w:val="0"/>
          <w:szCs w:val="21"/>
        </w:rPr>
        <w:t>排名，</w:t>
      </w:r>
      <w:r>
        <w:rPr>
          <w:rFonts w:hint="eastAsia" w:ascii="宋体" w:hAnsi="宋体" w:cs="宋体"/>
          <w:kern w:val="0"/>
          <w:szCs w:val="21"/>
        </w:rPr>
        <w:t>按上述</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分值乘以0.7</w:t>
      </w:r>
      <w:r>
        <w:rPr>
          <w:rFonts w:hint="eastAsia" w:ascii="宋体" w:hAnsi="宋体" w:cs="宋体"/>
          <w:kern w:val="0"/>
          <w:szCs w:val="21"/>
        </w:rPr>
        <w:t>；若合作作者为非法学院的本校老师且为第一作者，可将老师排除后进行排名，按上述系数计算的分值乘以0.6；若合作作者非本校且为第一作者，则直接按照多人合著的顺序进行加分</w:t>
      </w:r>
      <w:r>
        <w:rPr>
          <w:rFonts w:ascii="宋体" w:hAnsi="宋体" w:cs="宋体"/>
          <w:kern w:val="0"/>
          <w:szCs w:val="21"/>
        </w:rPr>
        <w:t>。</w:t>
      </w:r>
      <w:r>
        <w:rPr>
          <w:rFonts w:hint="eastAsia" w:ascii="宋体" w:hAnsi="宋体" w:cs="宋体"/>
          <w:kern w:val="0"/>
          <w:szCs w:val="21"/>
        </w:rPr>
        <w:t>作报告人的，亦须按前述系数计分；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5）参加学术会议或论坛发表论文并获得一等奖的，在原来加分基础上再加5分，获得二等奖再加3分，获得三等奖或其他奖项的再加1分。其他需要计分的，由本人向评审委员会提出申请，由评审委员会酌情加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（6）学术论文发表与录用的有效时间段为本学年内，即上一年9月1日至本年8月31日。毕业班同学在评奖评优通知公布之日（含）为止已确定录用的论文视作已发表。</w:t>
      </w:r>
    </w:p>
    <w:p>
      <w:pPr>
        <w:widowControl/>
        <w:spacing w:line="360" w:lineRule="auto"/>
        <w:ind w:firstLine="420" w:firstLineChars="200"/>
        <w:rPr>
          <w:rFonts w:hint="eastAsia" w:ascii="宋体" w:hAnsi="宋体" w:cs="宋体"/>
          <w:kern w:val="0"/>
          <w:szCs w:val="21"/>
        </w:rPr>
      </w:pPr>
    </w:p>
    <w:p>
      <w:pPr>
        <w:widowControl/>
        <w:spacing w:line="360" w:lineRule="auto"/>
        <w:ind w:firstLine="482" w:firstLineChars="200"/>
        <w:rPr>
          <w:rFonts w:ascii="宋体" w:hAnsi="宋体" w:cs="宋体"/>
          <w:b/>
          <w:kern w:val="0"/>
          <w:szCs w:val="21"/>
        </w:rPr>
      </w:pPr>
      <w:r>
        <w:rPr>
          <w:rFonts w:hint="eastAsia" w:ascii="宋体" w:hAnsi="宋体" w:cs="宋体"/>
          <w:b/>
          <w:kern w:val="0"/>
          <w:sz w:val="24"/>
        </w:rPr>
        <w:t>3.</w:t>
      </w:r>
      <w:r>
        <w:rPr>
          <w:rFonts w:ascii="宋体" w:hAnsi="宋体" w:cs="宋体"/>
          <w:b/>
          <w:kern w:val="0"/>
          <w:sz w:val="24"/>
        </w:rPr>
        <w:t>专著、译著</w:t>
      </w:r>
      <w:r>
        <w:rPr>
          <w:rFonts w:hint="eastAsia" w:ascii="宋体" w:hAnsi="宋体" w:cs="宋体"/>
          <w:b/>
          <w:kern w:val="0"/>
          <w:sz w:val="24"/>
        </w:rPr>
        <w:t>、</w:t>
      </w:r>
      <w:r>
        <w:rPr>
          <w:rFonts w:ascii="宋体" w:hAnsi="宋体" w:cs="宋体"/>
          <w:b/>
          <w:kern w:val="0"/>
          <w:sz w:val="24"/>
        </w:rPr>
        <w:t>编著计分</w:t>
      </w:r>
    </w:p>
    <w:tbl>
      <w:tblPr>
        <w:tblStyle w:val="10"/>
        <w:tblW w:w="8414" w:type="dxa"/>
        <w:tblInd w:w="108" w:type="dxa"/>
        <w:tblLayout w:type="fixed"/>
        <w:tblCellMar>
          <w:top w:w="0" w:type="dxa"/>
          <w:left w:w="0" w:type="dxa"/>
          <w:bottom w:w="0" w:type="dxa"/>
          <w:right w:w="0" w:type="dxa"/>
        </w:tblCellMar>
      </w:tblPr>
      <w:tblGrid>
        <w:gridCol w:w="2210"/>
        <w:gridCol w:w="1547"/>
        <w:gridCol w:w="1212"/>
        <w:gridCol w:w="1555"/>
        <w:gridCol w:w="1890"/>
      </w:tblGrid>
      <w:tr>
        <w:tblPrEx>
          <w:tblLayout w:type="fixed"/>
          <w:tblCellMar>
            <w:top w:w="0" w:type="dxa"/>
            <w:left w:w="0" w:type="dxa"/>
            <w:bottom w:w="0" w:type="dxa"/>
            <w:right w:w="0" w:type="dxa"/>
          </w:tblCellMar>
        </w:tblPrEx>
        <w:trPr>
          <w:cantSplit/>
          <w:trHeight w:val="300" w:hRule="atLeast"/>
        </w:trPr>
        <w:tc>
          <w:tcPr>
            <w:tcW w:w="2210" w:type="dxa"/>
            <w:vMerge w:val="restart"/>
            <w:tcBorders>
              <w:top w:val="single" w:color="auto" w:sz="8" w:space="0"/>
              <w:left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hAnsi="宋体" w:cs="宋体"/>
                <w:kern w:val="0"/>
                <w:sz w:val="24"/>
              </w:rPr>
            </w:pPr>
            <w:r>
              <w:rPr>
                <w:rFonts w:hint="eastAsia" w:ascii="宋体" w:hAnsi="宋体" w:cs="宋体"/>
                <w:kern w:val="0"/>
                <w:sz w:val="24"/>
              </w:rPr>
              <w:t>类别</w:t>
            </w:r>
          </w:p>
        </w:tc>
        <w:tc>
          <w:tcPr>
            <w:tcW w:w="6204" w:type="dxa"/>
            <w:gridSpan w:val="4"/>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计分分值（分/万字）</w:t>
            </w:r>
          </w:p>
        </w:tc>
      </w:tr>
      <w:tr>
        <w:tblPrEx>
          <w:tblLayout w:type="fixed"/>
          <w:tblCellMar>
            <w:top w:w="0" w:type="dxa"/>
            <w:left w:w="0" w:type="dxa"/>
            <w:bottom w:w="0" w:type="dxa"/>
            <w:right w:w="0" w:type="dxa"/>
          </w:tblCellMar>
        </w:tblPrEx>
        <w:trPr>
          <w:cantSplit/>
          <w:trHeight w:val="300" w:hRule="atLeast"/>
        </w:trPr>
        <w:tc>
          <w:tcPr>
            <w:tcW w:w="2210" w:type="dxa"/>
            <w:vMerge w:val="continue"/>
            <w:tcBorders>
              <w:left w:val="single" w:color="auto" w:sz="8" w:space="0"/>
              <w:bottom w:val="single" w:color="auto" w:sz="4" w:space="0"/>
              <w:right w:val="single" w:color="auto" w:sz="4" w:space="0"/>
            </w:tcBorders>
            <w:vAlign w:val="center"/>
          </w:tcPr>
          <w:p>
            <w:pPr>
              <w:spacing w:line="360" w:lineRule="auto"/>
              <w:ind w:hanging="900"/>
              <w:jc w:val="center"/>
              <w:rPr>
                <w:rFonts w:ascii="宋体" w:hAnsi="宋体" w:cs="宋体"/>
                <w:kern w:val="0"/>
                <w:sz w:val="24"/>
              </w:rPr>
            </w:pPr>
          </w:p>
        </w:tc>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20万字</w:t>
            </w:r>
          </w:p>
          <w:p>
            <w:pPr>
              <w:widowControl/>
              <w:spacing w:line="360" w:lineRule="auto"/>
              <w:jc w:val="center"/>
              <w:rPr>
                <w:rFonts w:ascii="宋体" w:hAnsi="宋体" w:cs="宋体"/>
                <w:kern w:val="0"/>
                <w:sz w:val="24"/>
              </w:rPr>
            </w:pPr>
            <w:r>
              <w:rPr>
                <w:rFonts w:ascii="宋体" w:hAnsi="宋体" w:cs="宋体"/>
                <w:kern w:val="0"/>
                <w:sz w:val="24"/>
              </w:rPr>
              <w:t>以内部分</w:t>
            </w:r>
          </w:p>
        </w:tc>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超出20万字部分</w:t>
            </w:r>
          </w:p>
        </w:tc>
        <w:tc>
          <w:tcPr>
            <w:tcW w:w="15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主编（主译）非执笔部分</w:t>
            </w:r>
          </w:p>
        </w:tc>
        <w:tc>
          <w:tcPr>
            <w:tcW w:w="18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副主编（副主译）非执笔部分</w:t>
            </w:r>
          </w:p>
        </w:tc>
      </w:tr>
      <w:tr>
        <w:tblPrEx>
          <w:tblLayout w:type="fixed"/>
          <w:tblCellMar>
            <w:top w:w="0" w:type="dxa"/>
            <w:left w:w="0" w:type="dxa"/>
            <w:bottom w:w="0" w:type="dxa"/>
            <w:right w:w="0" w:type="dxa"/>
          </w:tblCellMar>
        </w:tblPrEx>
        <w:trPr>
          <w:cantSplit/>
          <w:trHeight w:val="300" w:hRule="atLeast"/>
        </w:trPr>
        <w:tc>
          <w:tcPr>
            <w:tcW w:w="221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一级</w:t>
            </w:r>
            <w:r>
              <w:rPr>
                <w:rFonts w:ascii="宋体" w:hAnsi="宋体" w:cs="宋体"/>
                <w:kern w:val="0"/>
                <w:sz w:val="24"/>
              </w:rPr>
              <w:t>出版社专著</w:t>
            </w:r>
          </w:p>
        </w:tc>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15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1</w:t>
            </w:r>
          </w:p>
        </w:tc>
        <w:tc>
          <w:tcPr>
            <w:tcW w:w="18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0</w:t>
            </w:r>
            <w:r>
              <w:rPr>
                <w:rFonts w:hint="eastAsia" w:ascii="宋体" w:hAnsi="宋体" w:cs="宋体"/>
                <w:kern w:val="0"/>
                <w:sz w:val="24"/>
              </w:rPr>
              <w:t>.</w:t>
            </w:r>
            <w:r>
              <w:rPr>
                <w:rFonts w:ascii="宋体" w:hAnsi="宋体" w:cs="宋体"/>
                <w:kern w:val="0"/>
                <w:sz w:val="24"/>
              </w:rPr>
              <w:t>5</w:t>
            </w:r>
          </w:p>
        </w:tc>
      </w:tr>
      <w:tr>
        <w:tblPrEx>
          <w:tblLayout w:type="fixed"/>
          <w:tblCellMar>
            <w:top w:w="0" w:type="dxa"/>
            <w:left w:w="0" w:type="dxa"/>
            <w:bottom w:w="0" w:type="dxa"/>
            <w:right w:w="0" w:type="dxa"/>
          </w:tblCellMar>
        </w:tblPrEx>
        <w:trPr>
          <w:cantSplit/>
          <w:trHeight w:val="300" w:hRule="atLeast"/>
        </w:trPr>
        <w:tc>
          <w:tcPr>
            <w:tcW w:w="221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二级</w:t>
            </w:r>
            <w:r>
              <w:rPr>
                <w:rFonts w:ascii="宋体" w:hAnsi="宋体" w:cs="宋体"/>
                <w:kern w:val="0"/>
                <w:sz w:val="24"/>
              </w:rPr>
              <w:t>出版社专著</w:t>
            </w:r>
          </w:p>
        </w:tc>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1.5</w:t>
            </w:r>
          </w:p>
        </w:tc>
        <w:tc>
          <w:tcPr>
            <w:tcW w:w="15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0</w:t>
            </w:r>
            <w:r>
              <w:rPr>
                <w:rFonts w:hint="eastAsia" w:ascii="宋体" w:hAnsi="宋体" w:cs="宋体"/>
                <w:kern w:val="0"/>
                <w:sz w:val="24"/>
              </w:rPr>
              <w:t>.</w:t>
            </w:r>
            <w:r>
              <w:rPr>
                <w:rFonts w:ascii="宋体" w:hAnsi="宋体" w:cs="宋体"/>
                <w:kern w:val="0"/>
                <w:sz w:val="24"/>
              </w:rPr>
              <w:t>75</w:t>
            </w:r>
          </w:p>
        </w:tc>
        <w:tc>
          <w:tcPr>
            <w:tcW w:w="18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0</w:t>
            </w:r>
            <w:r>
              <w:rPr>
                <w:rFonts w:hint="eastAsia" w:ascii="宋体" w:hAnsi="宋体" w:cs="宋体"/>
                <w:kern w:val="0"/>
                <w:sz w:val="24"/>
              </w:rPr>
              <w:t>.</w:t>
            </w:r>
            <w:r>
              <w:rPr>
                <w:rFonts w:ascii="宋体" w:hAnsi="宋体" w:cs="宋体"/>
                <w:kern w:val="0"/>
                <w:sz w:val="24"/>
              </w:rPr>
              <w:t>5</w:t>
            </w:r>
          </w:p>
        </w:tc>
      </w:tr>
      <w:tr>
        <w:tblPrEx>
          <w:tblLayout w:type="fixed"/>
          <w:tblCellMar>
            <w:top w:w="0" w:type="dxa"/>
            <w:left w:w="0" w:type="dxa"/>
            <w:bottom w:w="0" w:type="dxa"/>
            <w:right w:w="0" w:type="dxa"/>
          </w:tblCellMar>
        </w:tblPrEx>
        <w:trPr>
          <w:cantSplit/>
          <w:trHeight w:val="300" w:hRule="atLeast"/>
        </w:trPr>
        <w:tc>
          <w:tcPr>
            <w:tcW w:w="221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一级</w:t>
            </w:r>
            <w:r>
              <w:rPr>
                <w:rFonts w:ascii="宋体" w:hAnsi="宋体" w:cs="宋体"/>
                <w:kern w:val="0"/>
                <w:sz w:val="24"/>
              </w:rPr>
              <w:t>出版社的中译</w:t>
            </w:r>
            <w:r>
              <w:rPr>
                <w:rFonts w:hint="eastAsia" w:ascii="宋体" w:hAnsi="宋体" w:cs="宋体"/>
                <w:kern w:val="0"/>
                <w:sz w:val="24"/>
              </w:rPr>
              <w:t>外</w:t>
            </w:r>
            <w:r>
              <w:rPr>
                <w:rFonts w:ascii="宋体" w:hAnsi="宋体" w:cs="宋体"/>
                <w:kern w:val="0"/>
                <w:sz w:val="24"/>
              </w:rPr>
              <w:t>（外译中）</w:t>
            </w:r>
          </w:p>
        </w:tc>
        <w:tc>
          <w:tcPr>
            <w:tcW w:w="1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1.5</w:t>
            </w:r>
          </w:p>
        </w:tc>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0.75</w:t>
            </w:r>
          </w:p>
        </w:tc>
        <w:tc>
          <w:tcPr>
            <w:tcW w:w="15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0</w:t>
            </w:r>
            <w:r>
              <w:rPr>
                <w:rFonts w:hint="eastAsia" w:ascii="宋体" w:hAnsi="宋体" w:cs="宋体"/>
                <w:kern w:val="0"/>
                <w:sz w:val="24"/>
              </w:rPr>
              <w:t>.</w:t>
            </w:r>
            <w:r>
              <w:rPr>
                <w:rFonts w:ascii="宋体" w:hAnsi="宋体" w:cs="宋体"/>
                <w:kern w:val="0"/>
                <w:sz w:val="24"/>
              </w:rPr>
              <w:t>5</w:t>
            </w:r>
          </w:p>
        </w:tc>
        <w:tc>
          <w:tcPr>
            <w:tcW w:w="189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0</w:t>
            </w:r>
            <w:r>
              <w:rPr>
                <w:rFonts w:hint="eastAsia" w:ascii="宋体" w:hAnsi="宋体" w:cs="宋体"/>
                <w:kern w:val="0"/>
                <w:sz w:val="24"/>
              </w:rPr>
              <w:t>.</w:t>
            </w:r>
            <w:r>
              <w:rPr>
                <w:rFonts w:ascii="宋体" w:hAnsi="宋体" w:cs="宋体"/>
                <w:kern w:val="0"/>
                <w:sz w:val="24"/>
              </w:rPr>
              <w:t>5</w:t>
            </w:r>
          </w:p>
        </w:tc>
      </w:tr>
      <w:tr>
        <w:tblPrEx>
          <w:tblLayout w:type="fixed"/>
          <w:tblCellMar>
            <w:top w:w="0" w:type="dxa"/>
            <w:left w:w="0" w:type="dxa"/>
            <w:bottom w:w="0" w:type="dxa"/>
            <w:right w:w="0" w:type="dxa"/>
          </w:tblCellMar>
        </w:tblPrEx>
        <w:trPr>
          <w:cantSplit/>
          <w:trHeight w:val="300" w:hRule="atLeast"/>
        </w:trPr>
        <w:tc>
          <w:tcPr>
            <w:tcW w:w="2210"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二级</w:t>
            </w:r>
            <w:r>
              <w:rPr>
                <w:rFonts w:ascii="宋体" w:hAnsi="宋体" w:cs="宋体"/>
                <w:kern w:val="0"/>
                <w:sz w:val="24"/>
              </w:rPr>
              <w:t>出版社的中译外（外译中）</w:t>
            </w:r>
          </w:p>
        </w:tc>
        <w:tc>
          <w:tcPr>
            <w:tcW w:w="1547"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1212"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0.5</w:t>
            </w:r>
          </w:p>
        </w:tc>
        <w:tc>
          <w:tcPr>
            <w:tcW w:w="1555"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0</w:t>
            </w:r>
            <w:r>
              <w:rPr>
                <w:rFonts w:hint="eastAsia" w:ascii="宋体" w:hAnsi="宋体" w:cs="宋体"/>
                <w:kern w:val="0"/>
                <w:sz w:val="24"/>
              </w:rPr>
              <w:t>.2</w:t>
            </w:r>
            <w:r>
              <w:rPr>
                <w:rFonts w:ascii="宋体" w:hAnsi="宋体" w:cs="宋体"/>
                <w:kern w:val="0"/>
                <w:sz w:val="24"/>
              </w:rPr>
              <w:t>5</w:t>
            </w:r>
          </w:p>
        </w:tc>
        <w:tc>
          <w:tcPr>
            <w:tcW w:w="1890"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0</w:t>
            </w:r>
            <w:r>
              <w:rPr>
                <w:rFonts w:hint="eastAsia" w:ascii="宋体" w:hAnsi="宋体" w:cs="宋体"/>
                <w:kern w:val="0"/>
                <w:sz w:val="24"/>
              </w:rPr>
              <w:t>.2</w:t>
            </w:r>
            <w:r>
              <w:rPr>
                <w:rFonts w:ascii="宋体" w:hAnsi="宋体" w:cs="宋体"/>
                <w:kern w:val="0"/>
                <w:sz w:val="24"/>
              </w:rPr>
              <w:t>5</w:t>
            </w:r>
          </w:p>
        </w:tc>
      </w:tr>
    </w:tbl>
    <w:p>
      <w:pPr>
        <w:widowControl/>
        <w:spacing w:line="360" w:lineRule="auto"/>
        <w:rPr>
          <w:rFonts w:ascii="宋体" w:hAnsi="宋体" w:cs="宋体"/>
          <w:kern w:val="0"/>
          <w:szCs w:val="21"/>
        </w:rPr>
      </w:pPr>
      <w:r>
        <w:rPr>
          <w:rFonts w:hint="eastAsia" w:ascii="宋体" w:hAnsi="宋体" w:cs="宋体"/>
          <w:kern w:val="0"/>
          <w:szCs w:val="21"/>
        </w:rPr>
        <w:t>注</w:t>
      </w:r>
      <w:r>
        <w:rPr>
          <w:rFonts w:ascii="宋体" w:hAnsi="宋体" w:cs="宋体"/>
          <w:kern w:val="0"/>
          <w:szCs w:val="21"/>
        </w:rPr>
        <w:t>：</w:t>
      </w:r>
      <w:r>
        <w:rPr>
          <w:rFonts w:hint="eastAsia" w:ascii="宋体" w:hAnsi="宋体" w:cs="宋体"/>
          <w:kern w:val="0"/>
          <w:szCs w:val="21"/>
        </w:rPr>
        <w:t>（1）</w:t>
      </w:r>
      <w:r>
        <w:rPr>
          <w:rFonts w:ascii="宋体" w:hAnsi="宋体" w:cs="宋体"/>
          <w:kern w:val="0"/>
          <w:szCs w:val="21"/>
        </w:rPr>
        <w:t>第二作者减半加分，第三作者按三分之一值加分；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（2）</w:t>
      </w:r>
      <w:r>
        <w:rPr>
          <w:rFonts w:ascii="宋体" w:hAnsi="宋体" w:cs="宋体"/>
          <w:kern w:val="0"/>
          <w:szCs w:val="21"/>
        </w:rPr>
        <w:t>出版书籍，参与其中有关章节的写作，每人以5分计。</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每项作品最高分不超过80分。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成果</w:t>
      </w:r>
      <w:r>
        <w:rPr>
          <w:rFonts w:ascii="宋体" w:hAnsi="宋体" w:cs="宋体"/>
          <w:kern w:val="0"/>
          <w:szCs w:val="21"/>
        </w:rPr>
        <w:t>的出版</w:t>
      </w:r>
      <w:r>
        <w:rPr>
          <w:rFonts w:hint="eastAsia" w:ascii="宋体" w:hAnsi="宋体" w:cs="宋体"/>
          <w:kern w:val="0"/>
          <w:szCs w:val="21"/>
        </w:rPr>
        <w:t>时间</w:t>
      </w:r>
      <w:r>
        <w:rPr>
          <w:rFonts w:ascii="宋体" w:hAnsi="宋体" w:cs="宋体"/>
          <w:kern w:val="0"/>
          <w:szCs w:val="21"/>
        </w:rPr>
        <w:t>要求</w:t>
      </w:r>
      <w:r>
        <w:rPr>
          <w:rFonts w:hint="eastAsia" w:ascii="宋体" w:hAnsi="宋体" w:cs="宋体"/>
          <w:kern w:val="0"/>
          <w:szCs w:val="21"/>
        </w:rPr>
        <w:t>为本学年内，即上一年9月1日至本年8月31日。</w:t>
      </w:r>
    </w:p>
    <w:p>
      <w:pPr>
        <w:widowControl/>
        <w:spacing w:line="360" w:lineRule="auto"/>
        <w:ind w:firstLine="420" w:firstLineChars="200"/>
        <w:rPr>
          <w:rFonts w:hint="eastAsia" w:ascii="宋体" w:hAnsi="宋体" w:cs="宋体"/>
          <w:kern w:val="0"/>
          <w:szCs w:val="21"/>
        </w:rPr>
      </w:pPr>
    </w:p>
    <w:p>
      <w:pPr>
        <w:tabs>
          <w:tab w:val="left" w:pos="735"/>
        </w:tabs>
        <w:spacing w:line="360" w:lineRule="auto"/>
        <w:ind w:firstLine="482" w:firstLineChars="200"/>
        <w:rPr>
          <w:rFonts w:ascii="宋体" w:hAnsi="宋体"/>
          <w:b/>
          <w:color w:val="000000"/>
          <w:sz w:val="24"/>
        </w:rPr>
      </w:pPr>
      <w:r>
        <w:rPr>
          <w:rFonts w:hint="eastAsia" w:ascii="宋体" w:hAnsi="宋体"/>
          <w:b/>
          <w:color w:val="000000"/>
          <w:sz w:val="24"/>
        </w:rPr>
        <w:t>4.主持或者参加课题计分</w:t>
      </w:r>
    </w:p>
    <w:tbl>
      <w:tblPr>
        <w:tblStyle w:val="10"/>
        <w:tblpPr w:leftFromText="180" w:rightFromText="180" w:vertAnchor="text" w:horzAnchor="margin" w:tblpY="206"/>
        <w:tblW w:w="8374" w:type="dxa"/>
        <w:tblInd w:w="0" w:type="dxa"/>
        <w:tblLayout w:type="fixed"/>
        <w:tblCellMar>
          <w:top w:w="0" w:type="dxa"/>
          <w:left w:w="0" w:type="dxa"/>
          <w:bottom w:w="0" w:type="dxa"/>
          <w:right w:w="0" w:type="dxa"/>
        </w:tblCellMar>
      </w:tblPr>
      <w:tblGrid>
        <w:gridCol w:w="1995"/>
        <w:gridCol w:w="2693"/>
        <w:gridCol w:w="3686"/>
      </w:tblGrid>
      <w:tr>
        <w:tblPrEx>
          <w:tblLayout w:type="fixed"/>
          <w:tblCellMar>
            <w:top w:w="0" w:type="dxa"/>
            <w:left w:w="0" w:type="dxa"/>
            <w:bottom w:w="0" w:type="dxa"/>
            <w:right w:w="0" w:type="dxa"/>
          </w:tblCellMar>
        </w:tblPrEx>
        <w:tc>
          <w:tcPr>
            <w:tcW w:w="4688" w:type="dxa"/>
            <w:gridSpan w:val="2"/>
            <w:tcBorders>
              <w:top w:val="single" w:color="000000" w:sz="8" w:space="0"/>
              <w:left w:val="single" w:color="000000" w:sz="8"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b/>
                <w:kern w:val="0"/>
                <w:sz w:val="24"/>
              </w:rPr>
            </w:pPr>
            <w:r>
              <w:rPr>
                <w:rFonts w:hint="eastAsia" w:ascii="宋体" w:hAnsi="宋体" w:cs="宋体"/>
                <w:b/>
                <w:kern w:val="0"/>
                <w:sz w:val="24"/>
              </w:rPr>
              <w:t>科研项目</w:t>
            </w:r>
          </w:p>
        </w:tc>
        <w:tc>
          <w:tcPr>
            <w:tcW w:w="368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b/>
                <w:kern w:val="0"/>
                <w:sz w:val="24"/>
              </w:rPr>
            </w:pPr>
            <w:r>
              <w:rPr>
                <w:rFonts w:hint="eastAsia" w:ascii="宋体" w:hAnsi="宋体" w:cs="宋体"/>
                <w:b/>
                <w:kern w:val="0"/>
                <w:sz w:val="24"/>
              </w:rPr>
              <w:t>分值</w:t>
            </w:r>
          </w:p>
        </w:tc>
      </w:tr>
      <w:tr>
        <w:tblPrEx>
          <w:tblLayout w:type="fixed"/>
          <w:tblCellMar>
            <w:top w:w="0" w:type="dxa"/>
            <w:left w:w="0" w:type="dxa"/>
            <w:bottom w:w="0" w:type="dxa"/>
            <w:right w:w="0" w:type="dxa"/>
          </w:tblCellMar>
        </w:tblPrEx>
        <w:tc>
          <w:tcPr>
            <w:tcW w:w="1995" w:type="dxa"/>
            <w:vMerge w:val="restart"/>
            <w:tcBorders>
              <w:top w:val="nil"/>
              <w:left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国家级</w:t>
            </w:r>
          </w:p>
        </w:tc>
        <w:tc>
          <w:tcPr>
            <w:tcW w:w="2693" w:type="dxa"/>
            <w:tcBorders>
              <w:top w:val="nil"/>
              <w:left w:val="nil"/>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主持</w:t>
            </w:r>
          </w:p>
        </w:tc>
        <w:tc>
          <w:tcPr>
            <w:tcW w:w="368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tabs>
                <w:tab w:val="center" w:pos="2025"/>
              </w:tabs>
              <w:spacing w:line="360" w:lineRule="auto"/>
              <w:ind w:firstLine="1560" w:firstLineChars="650"/>
              <w:rPr>
                <w:rFonts w:ascii="宋体" w:hAnsi="宋体" w:cs="宋体"/>
                <w:kern w:val="0"/>
                <w:sz w:val="24"/>
              </w:rPr>
            </w:pPr>
            <w:r>
              <w:rPr>
                <w:rFonts w:hint="eastAsia" w:ascii="宋体" w:hAnsi="宋体" w:cs="宋体"/>
                <w:kern w:val="0"/>
                <w:sz w:val="24"/>
              </w:rPr>
              <w:t>120</w:t>
            </w:r>
          </w:p>
        </w:tc>
      </w:tr>
      <w:tr>
        <w:tblPrEx>
          <w:tblLayout w:type="fixed"/>
          <w:tblCellMar>
            <w:top w:w="0" w:type="dxa"/>
            <w:left w:w="0" w:type="dxa"/>
            <w:bottom w:w="0" w:type="dxa"/>
            <w:right w:w="0" w:type="dxa"/>
          </w:tblCellMar>
        </w:tblPrEx>
        <w:tc>
          <w:tcPr>
            <w:tcW w:w="1995" w:type="dxa"/>
            <w:vMerge w:val="continue"/>
            <w:tcBorders>
              <w:left w:val="single" w:color="000000" w:sz="8"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p>
        </w:tc>
        <w:tc>
          <w:tcPr>
            <w:tcW w:w="2693" w:type="dxa"/>
            <w:tcBorders>
              <w:top w:val="nil"/>
              <w:left w:val="nil"/>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参与(前五)</w:t>
            </w:r>
          </w:p>
        </w:tc>
        <w:tc>
          <w:tcPr>
            <w:tcW w:w="368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60</w:t>
            </w:r>
          </w:p>
        </w:tc>
      </w:tr>
      <w:tr>
        <w:tblPrEx>
          <w:tblLayout w:type="fixed"/>
          <w:tblCellMar>
            <w:top w:w="0" w:type="dxa"/>
            <w:left w:w="0" w:type="dxa"/>
            <w:bottom w:w="0" w:type="dxa"/>
            <w:right w:w="0" w:type="dxa"/>
          </w:tblCellMar>
        </w:tblPrEx>
        <w:tc>
          <w:tcPr>
            <w:tcW w:w="1995" w:type="dxa"/>
            <w:vMerge w:val="restart"/>
            <w:tcBorders>
              <w:top w:val="nil"/>
              <w:left w:val="single" w:color="000000" w:sz="8"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省部级</w:t>
            </w:r>
          </w:p>
        </w:tc>
        <w:tc>
          <w:tcPr>
            <w:tcW w:w="2693" w:type="dxa"/>
            <w:tcBorders>
              <w:top w:val="nil"/>
              <w:left w:val="nil"/>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主持</w:t>
            </w:r>
          </w:p>
        </w:tc>
        <w:tc>
          <w:tcPr>
            <w:tcW w:w="368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ascii="宋体" w:hAnsi="宋体" w:cs="宋体"/>
                <w:kern w:val="0"/>
                <w:sz w:val="24"/>
              </w:rPr>
              <w:t>80</w:t>
            </w:r>
          </w:p>
        </w:tc>
      </w:tr>
      <w:tr>
        <w:tblPrEx>
          <w:tblLayout w:type="fixed"/>
          <w:tblCellMar>
            <w:top w:w="0" w:type="dxa"/>
            <w:left w:w="0" w:type="dxa"/>
            <w:bottom w:w="0" w:type="dxa"/>
            <w:right w:w="0" w:type="dxa"/>
          </w:tblCellMar>
        </w:tblPrEx>
        <w:tc>
          <w:tcPr>
            <w:tcW w:w="1995" w:type="dxa"/>
            <w:vMerge w:val="continue"/>
            <w:tcBorders>
              <w:top w:val="nil"/>
              <w:left w:val="single" w:color="000000" w:sz="8" w:space="0"/>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p>
        </w:tc>
        <w:tc>
          <w:tcPr>
            <w:tcW w:w="2693" w:type="dxa"/>
            <w:tcBorders>
              <w:top w:val="nil"/>
              <w:left w:val="nil"/>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参与（前五）</w:t>
            </w:r>
          </w:p>
        </w:tc>
        <w:tc>
          <w:tcPr>
            <w:tcW w:w="36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ascii="宋体" w:hAnsi="宋体" w:cs="宋体"/>
                <w:kern w:val="0"/>
                <w:sz w:val="24"/>
              </w:rPr>
              <w:t>40</w:t>
            </w:r>
          </w:p>
        </w:tc>
      </w:tr>
      <w:tr>
        <w:tblPrEx>
          <w:tblLayout w:type="fixed"/>
          <w:tblCellMar>
            <w:top w:w="0" w:type="dxa"/>
            <w:left w:w="0" w:type="dxa"/>
            <w:bottom w:w="0" w:type="dxa"/>
            <w:right w:w="0" w:type="dxa"/>
          </w:tblCellMar>
        </w:tblPrEx>
        <w:tc>
          <w:tcPr>
            <w:tcW w:w="1995" w:type="dxa"/>
            <w:vMerge w:val="restart"/>
            <w:tcBorders>
              <w:top w:val="nil"/>
              <w:left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厅局级</w:t>
            </w:r>
          </w:p>
        </w:tc>
        <w:tc>
          <w:tcPr>
            <w:tcW w:w="2693" w:type="dxa"/>
            <w:tcBorders>
              <w:top w:val="nil"/>
              <w:left w:val="nil"/>
              <w:bottom w:val="single" w:color="000000" w:sz="8"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主持</w:t>
            </w:r>
          </w:p>
        </w:tc>
        <w:tc>
          <w:tcPr>
            <w:tcW w:w="3686"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ascii="宋体" w:hAnsi="宋体" w:cs="宋体"/>
                <w:kern w:val="0"/>
                <w:sz w:val="24"/>
              </w:rPr>
              <w:t>40</w:t>
            </w:r>
          </w:p>
        </w:tc>
      </w:tr>
      <w:tr>
        <w:tblPrEx>
          <w:tblLayout w:type="fixed"/>
          <w:tblCellMar>
            <w:top w:w="0" w:type="dxa"/>
            <w:left w:w="0" w:type="dxa"/>
            <w:bottom w:w="0" w:type="dxa"/>
            <w:right w:w="0" w:type="dxa"/>
          </w:tblCellMar>
        </w:tblPrEx>
        <w:tc>
          <w:tcPr>
            <w:tcW w:w="1995" w:type="dxa"/>
            <w:vMerge w:val="continue"/>
            <w:tcBorders>
              <w:left w:val="single" w:color="000000" w:sz="8" w:space="0"/>
              <w:bottom w:val="single" w:color="auto" w:sz="4" w:space="0"/>
              <w:right w:val="single" w:color="000000" w:sz="8" w:space="0"/>
            </w:tcBorders>
            <w:vAlign w:val="center"/>
          </w:tcPr>
          <w:p>
            <w:pPr>
              <w:widowControl/>
              <w:tabs>
                <w:tab w:val="center" w:pos="2025"/>
              </w:tabs>
              <w:spacing w:line="360" w:lineRule="auto"/>
              <w:jc w:val="center"/>
              <w:rPr>
                <w:rFonts w:ascii="宋体" w:hAnsi="宋体" w:cs="宋体"/>
                <w:kern w:val="0"/>
                <w:sz w:val="24"/>
              </w:rPr>
            </w:pPr>
          </w:p>
        </w:tc>
        <w:tc>
          <w:tcPr>
            <w:tcW w:w="2693" w:type="dxa"/>
            <w:tcBorders>
              <w:top w:val="nil"/>
              <w:left w:val="nil"/>
              <w:bottom w:val="single" w:color="auto" w:sz="4" w:space="0"/>
              <w:right w:val="single" w:color="000000" w:sz="8" w:space="0"/>
            </w:tcBorders>
            <w:vAlign w:val="center"/>
          </w:tcPr>
          <w:p>
            <w:pPr>
              <w:widowControl/>
              <w:tabs>
                <w:tab w:val="center" w:pos="2025"/>
              </w:tabs>
              <w:spacing w:line="360" w:lineRule="auto"/>
              <w:jc w:val="center"/>
              <w:rPr>
                <w:rFonts w:ascii="宋体" w:hAnsi="宋体" w:cs="宋体"/>
                <w:kern w:val="0"/>
                <w:sz w:val="24"/>
              </w:rPr>
            </w:pPr>
            <w:r>
              <w:rPr>
                <w:rFonts w:hint="eastAsia" w:ascii="宋体" w:hAnsi="宋体" w:cs="宋体"/>
                <w:kern w:val="0"/>
                <w:sz w:val="24"/>
              </w:rPr>
              <w:t>参与 （前五）</w:t>
            </w:r>
          </w:p>
        </w:tc>
        <w:tc>
          <w:tcPr>
            <w:tcW w:w="3686" w:type="dxa"/>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tabs>
                <w:tab w:val="center" w:pos="2025"/>
              </w:tabs>
              <w:spacing w:line="360" w:lineRule="auto"/>
              <w:jc w:val="center"/>
              <w:rPr>
                <w:rFonts w:ascii="宋体" w:hAnsi="宋体" w:cs="宋体"/>
                <w:kern w:val="0"/>
                <w:sz w:val="24"/>
              </w:rPr>
            </w:pPr>
            <w:r>
              <w:rPr>
                <w:rFonts w:ascii="宋体" w:hAnsi="宋体" w:cs="宋体"/>
                <w:kern w:val="0"/>
                <w:sz w:val="24"/>
              </w:rPr>
              <w:t>20</w:t>
            </w:r>
          </w:p>
        </w:tc>
      </w:tr>
    </w:tbl>
    <w:p>
      <w:pPr>
        <w:tabs>
          <w:tab w:val="left" w:pos="735"/>
        </w:tabs>
        <w:spacing w:line="360" w:lineRule="auto"/>
        <w:rPr>
          <w:rFonts w:ascii="宋体" w:hAnsi="宋体"/>
          <w:color w:val="000000"/>
          <w:szCs w:val="21"/>
        </w:rPr>
      </w:pPr>
      <w:r>
        <w:rPr>
          <w:rFonts w:hint="eastAsia" w:ascii="宋体" w:hAnsi="宋体"/>
          <w:color w:val="000000"/>
          <w:sz w:val="24"/>
        </w:rPr>
        <w:t>注：</w:t>
      </w:r>
      <w:r>
        <w:rPr>
          <w:rFonts w:hint="eastAsia" w:ascii="宋体" w:hAnsi="宋体"/>
          <w:color w:val="000000"/>
          <w:szCs w:val="21"/>
        </w:rPr>
        <w:t>（1）国家级、省部级、</w:t>
      </w:r>
      <w:r>
        <w:rPr>
          <w:rFonts w:ascii="宋体" w:hAnsi="宋体"/>
          <w:color w:val="000000"/>
          <w:szCs w:val="21"/>
        </w:rPr>
        <w:t>厅局级</w:t>
      </w:r>
      <w:r>
        <w:rPr>
          <w:rFonts w:hint="eastAsia" w:ascii="宋体" w:hAnsi="宋体"/>
          <w:color w:val="000000"/>
          <w:szCs w:val="21"/>
        </w:rPr>
        <w:t>科研项目的认定，根据立项书上的项目下达单位级别，由评审委员会参照浙江大学社会科学研究院规定的标准进行认定。</w:t>
      </w:r>
    </w:p>
    <w:p>
      <w:pPr>
        <w:tabs>
          <w:tab w:val="left" w:pos="735"/>
        </w:tabs>
        <w:spacing w:line="360" w:lineRule="auto"/>
        <w:ind w:firstLine="315" w:firstLineChars="150"/>
        <w:rPr>
          <w:rFonts w:ascii="宋体" w:hAnsi="宋体" w:cs="宋体"/>
          <w:kern w:val="0"/>
          <w:szCs w:val="21"/>
        </w:rPr>
      </w:pPr>
      <w:r>
        <w:rPr>
          <w:rFonts w:hint="eastAsia" w:ascii="宋体" w:hAnsi="宋体"/>
          <w:color w:val="000000"/>
          <w:szCs w:val="21"/>
        </w:rPr>
        <w:t>（2）主持或参与课题应在本学年有效时间段内，即</w:t>
      </w:r>
      <w:r>
        <w:rPr>
          <w:rFonts w:hint="eastAsia" w:ascii="宋体" w:hAnsi="宋体" w:cs="宋体"/>
          <w:kern w:val="0"/>
          <w:szCs w:val="21"/>
        </w:rPr>
        <w:t>上一年9月1日</w:t>
      </w:r>
      <w:r>
        <w:rPr>
          <w:rFonts w:ascii="宋体" w:hAnsi="宋体" w:cs="宋体"/>
          <w:kern w:val="0"/>
          <w:szCs w:val="21"/>
        </w:rPr>
        <w:t>至本年</w:t>
      </w:r>
      <w:r>
        <w:rPr>
          <w:rFonts w:hint="eastAsia" w:ascii="宋体" w:hAnsi="宋体" w:cs="宋体"/>
          <w:kern w:val="0"/>
          <w:szCs w:val="21"/>
        </w:rPr>
        <w:t>8月31日已结题。</w:t>
      </w:r>
    </w:p>
    <w:p>
      <w:pPr>
        <w:tabs>
          <w:tab w:val="left" w:pos="735"/>
        </w:tabs>
        <w:spacing w:line="360" w:lineRule="auto"/>
        <w:ind w:firstLine="105" w:firstLineChars="50"/>
        <w:rPr>
          <w:rFonts w:ascii="宋体" w:hAnsi="宋体" w:cs="宋体"/>
          <w:kern w:val="0"/>
          <w:szCs w:val="21"/>
        </w:rPr>
      </w:pPr>
      <w:r>
        <w:rPr>
          <w:rFonts w:hint="eastAsia" w:ascii="宋体" w:hAnsi="宋体" w:cs="宋体"/>
          <w:kern w:val="0"/>
          <w:szCs w:val="21"/>
        </w:rPr>
        <w:t xml:space="preserve">  （3）结题所形成的成果，如果是项目结题的必要条件，则就高计。</w:t>
      </w:r>
    </w:p>
    <w:p>
      <w:pPr>
        <w:widowControl/>
        <w:numPr>
          <w:ilvl w:val="0"/>
          <w:numId w:val="1"/>
        </w:numPr>
        <w:spacing w:line="360" w:lineRule="auto"/>
        <w:ind w:firstLine="315" w:firstLineChars="150"/>
        <w:rPr>
          <w:rFonts w:ascii="宋体" w:hAnsi="宋体" w:cs="宋体"/>
          <w:kern w:val="0"/>
          <w:szCs w:val="21"/>
        </w:rPr>
      </w:pPr>
      <w:r>
        <w:rPr>
          <w:rFonts w:hint="eastAsia" w:ascii="宋体" w:hAnsi="宋体" w:cs="宋体"/>
          <w:kern w:val="0"/>
          <w:szCs w:val="21"/>
        </w:rPr>
        <w:t>若主持或参加项目有法学院导师的，</w:t>
      </w:r>
      <w:r>
        <w:rPr>
          <w:rFonts w:ascii="宋体" w:hAnsi="宋体" w:cs="宋体"/>
          <w:kern w:val="0"/>
          <w:szCs w:val="21"/>
        </w:rPr>
        <w:t>可将</w:t>
      </w:r>
      <w:r>
        <w:rPr>
          <w:rFonts w:hint="eastAsia" w:ascii="宋体" w:hAnsi="宋体" w:cs="宋体"/>
          <w:kern w:val="0"/>
          <w:szCs w:val="21"/>
        </w:rPr>
        <w:t>导师</w:t>
      </w:r>
      <w:r>
        <w:rPr>
          <w:rFonts w:ascii="宋体" w:hAnsi="宋体" w:cs="宋体"/>
          <w:kern w:val="0"/>
          <w:szCs w:val="21"/>
        </w:rPr>
        <w:t>排除后</w:t>
      </w:r>
      <w:r>
        <w:rPr>
          <w:rFonts w:hint="eastAsia" w:ascii="宋体" w:hAnsi="宋体" w:cs="宋体"/>
          <w:kern w:val="0"/>
          <w:szCs w:val="21"/>
        </w:rPr>
        <w:t>进行</w:t>
      </w:r>
      <w:r>
        <w:rPr>
          <w:rFonts w:ascii="宋体" w:hAnsi="宋体" w:cs="宋体"/>
          <w:kern w:val="0"/>
          <w:szCs w:val="21"/>
        </w:rPr>
        <w:t>排名</w:t>
      </w:r>
      <w:r>
        <w:rPr>
          <w:rFonts w:hint="eastAsia" w:ascii="宋体" w:hAnsi="宋体" w:cs="宋体"/>
          <w:kern w:val="0"/>
          <w:szCs w:val="21"/>
        </w:rPr>
        <w:t>。第一参与人按上述</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0.7，第二参与人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0.6，第三参与人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0.5，第四参与人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0.4，第五参与人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0.3。若主持项目的为非法学院的本校老师，可将老师排除后进行排名，按上述系数计算的分值乘以0.6，第二参与人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0.5，第三参与人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0.4，第四参与人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0.3，第五参与人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0.2。若主持项目的非本校且为第一作者，则第一参与人按上述</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0.5，以，第二参与人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0.4，第三参与人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0.3，第四参与人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0.2，第五参与人</w:t>
      </w:r>
      <w:r>
        <w:rPr>
          <w:rFonts w:ascii="宋体" w:hAnsi="宋体" w:cs="宋体"/>
          <w:kern w:val="0"/>
          <w:szCs w:val="21"/>
        </w:rPr>
        <w:t>系数计算</w:t>
      </w:r>
      <w:r>
        <w:rPr>
          <w:rFonts w:hint="eastAsia" w:ascii="宋体" w:hAnsi="宋体" w:cs="宋体"/>
          <w:kern w:val="0"/>
          <w:szCs w:val="21"/>
        </w:rPr>
        <w:t>的</w:t>
      </w:r>
      <w:r>
        <w:rPr>
          <w:rFonts w:ascii="宋体" w:hAnsi="宋体" w:cs="宋体"/>
          <w:kern w:val="0"/>
          <w:szCs w:val="21"/>
        </w:rPr>
        <w:t>分值乘以</w:t>
      </w:r>
      <w:r>
        <w:rPr>
          <w:rFonts w:hint="eastAsia" w:ascii="宋体" w:hAnsi="宋体" w:cs="宋体"/>
          <w:kern w:val="0"/>
          <w:szCs w:val="21"/>
        </w:rPr>
        <w:t>0.1。</w:t>
      </w:r>
    </w:p>
    <w:p>
      <w:pPr>
        <w:tabs>
          <w:tab w:val="left" w:pos="735"/>
        </w:tabs>
        <w:spacing w:line="360" w:lineRule="auto"/>
        <w:ind w:firstLine="482" w:firstLineChars="200"/>
        <w:rPr>
          <w:rFonts w:ascii="宋体" w:hAnsi="宋体"/>
          <w:b/>
          <w:color w:val="000000"/>
          <w:sz w:val="24"/>
        </w:rPr>
      </w:pPr>
      <w:r>
        <w:rPr>
          <w:rFonts w:hint="eastAsia" w:ascii="宋体" w:hAnsi="宋体"/>
          <w:b/>
          <w:color w:val="000000"/>
          <w:sz w:val="24"/>
        </w:rPr>
        <w:t>5.科研、论文等学术获奖计分</w:t>
      </w:r>
    </w:p>
    <w:tbl>
      <w:tblPr>
        <w:tblStyle w:val="10"/>
        <w:tblW w:w="8472" w:type="dxa"/>
        <w:tblInd w:w="0" w:type="dxa"/>
        <w:tblLayout w:type="fixed"/>
        <w:tblCellMar>
          <w:top w:w="0" w:type="dxa"/>
          <w:left w:w="0" w:type="dxa"/>
          <w:bottom w:w="0" w:type="dxa"/>
          <w:right w:w="0" w:type="dxa"/>
        </w:tblCellMar>
      </w:tblPr>
      <w:tblGrid>
        <w:gridCol w:w="1420"/>
        <w:gridCol w:w="1665"/>
        <w:gridCol w:w="1559"/>
        <w:gridCol w:w="1701"/>
        <w:gridCol w:w="2127"/>
      </w:tblGrid>
      <w:tr>
        <w:tblPrEx>
          <w:tblLayout w:type="fixed"/>
          <w:tblCellMar>
            <w:top w:w="0" w:type="dxa"/>
            <w:left w:w="0" w:type="dxa"/>
            <w:bottom w:w="0" w:type="dxa"/>
            <w:right w:w="0" w:type="dxa"/>
          </w:tblCellMar>
        </w:tblPrEx>
        <w:tc>
          <w:tcPr>
            <w:tcW w:w="1420"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获</w:t>
            </w:r>
            <w:r>
              <w:rPr>
                <w:rFonts w:ascii="宋体" w:hAnsi="宋体" w:cs="宋体"/>
                <w:kern w:val="0"/>
                <w:sz w:val="24"/>
              </w:rPr>
              <w:t>奖级别</w:t>
            </w:r>
          </w:p>
        </w:tc>
        <w:tc>
          <w:tcPr>
            <w:tcW w:w="166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center"/>
              <w:rPr>
                <w:rFonts w:ascii="宋体" w:hAnsi="宋体" w:cs="宋体"/>
                <w:kern w:val="0"/>
                <w:sz w:val="24"/>
              </w:rPr>
            </w:pPr>
            <w:r>
              <w:rPr>
                <w:rFonts w:hint="eastAsia" w:ascii="宋体" w:hAnsi="宋体" w:cs="宋体"/>
                <w:kern w:val="0"/>
                <w:sz w:val="24"/>
              </w:rPr>
              <w:t>特等</w:t>
            </w:r>
          </w:p>
        </w:tc>
        <w:tc>
          <w:tcPr>
            <w:tcW w:w="1559"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一</w:t>
            </w:r>
          </w:p>
        </w:tc>
        <w:tc>
          <w:tcPr>
            <w:tcW w:w="1701"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二</w:t>
            </w:r>
          </w:p>
        </w:tc>
        <w:tc>
          <w:tcPr>
            <w:tcW w:w="212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三</w:t>
            </w:r>
          </w:p>
        </w:tc>
      </w:tr>
      <w:tr>
        <w:tblPrEx>
          <w:tblLayout w:type="fixed"/>
          <w:tblCellMar>
            <w:top w:w="0" w:type="dxa"/>
            <w:left w:w="0" w:type="dxa"/>
            <w:bottom w:w="0" w:type="dxa"/>
            <w:right w:w="0" w:type="dxa"/>
          </w:tblCellMar>
        </w:tblPrEx>
        <w:tc>
          <w:tcPr>
            <w:tcW w:w="14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全国</w:t>
            </w:r>
          </w:p>
        </w:tc>
        <w:tc>
          <w:tcPr>
            <w:tcW w:w="1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center"/>
              <w:rPr>
                <w:rFonts w:ascii="宋体" w:hAnsi="宋体" w:cs="宋体"/>
                <w:kern w:val="0"/>
                <w:sz w:val="24"/>
              </w:rPr>
            </w:pPr>
            <w:r>
              <w:rPr>
                <w:rFonts w:hint="eastAsia" w:ascii="宋体" w:hAnsi="宋体" w:cs="宋体"/>
                <w:kern w:val="0"/>
                <w:sz w:val="24"/>
              </w:rPr>
              <w:t>120</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100</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80</w:t>
            </w:r>
          </w:p>
        </w:tc>
        <w:tc>
          <w:tcPr>
            <w:tcW w:w="2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60</w:t>
            </w:r>
          </w:p>
        </w:tc>
      </w:tr>
      <w:tr>
        <w:tblPrEx>
          <w:tblLayout w:type="fixed"/>
          <w:tblCellMar>
            <w:top w:w="0" w:type="dxa"/>
            <w:left w:w="0" w:type="dxa"/>
            <w:bottom w:w="0" w:type="dxa"/>
            <w:right w:w="0" w:type="dxa"/>
          </w:tblCellMar>
        </w:tblPrEx>
        <w:tc>
          <w:tcPr>
            <w:tcW w:w="14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省</w:t>
            </w:r>
            <w:r>
              <w:rPr>
                <w:rFonts w:hint="eastAsia" w:ascii="宋体" w:hAnsi="宋体" w:cs="宋体"/>
                <w:kern w:val="0"/>
                <w:sz w:val="24"/>
              </w:rPr>
              <w:t>部</w:t>
            </w:r>
            <w:r>
              <w:rPr>
                <w:rFonts w:ascii="宋体" w:hAnsi="宋体" w:cs="宋体"/>
                <w:kern w:val="0"/>
                <w:sz w:val="24"/>
              </w:rPr>
              <w:t>级</w:t>
            </w:r>
          </w:p>
        </w:tc>
        <w:tc>
          <w:tcPr>
            <w:tcW w:w="1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100</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80</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60</w:t>
            </w:r>
          </w:p>
        </w:tc>
        <w:tc>
          <w:tcPr>
            <w:tcW w:w="2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40</w:t>
            </w:r>
          </w:p>
        </w:tc>
      </w:tr>
      <w:tr>
        <w:tblPrEx>
          <w:tblLayout w:type="fixed"/>
          <w:tblCellMar>
            <w:top w:w="0" w:type="dxa"/>
            <w:left w:w="0" w:type="dxa"/>
            <w:bottom w:w="0" w:type="dxa"/>
            <w:right w:w="0" w:type="dxa"/>
          </w:tblCellMar>
        </w:tblPrEx>
        <w:tc>
          <w:tcPr>
            <w:tcW w:w="14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厅局级</w:t>
            </w:r>
          </w:p>
        </w:tc>
        <w:tc>
          <w:tcPr>
            <w:tcW w:w="1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80</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60</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40</w:t>
            </w:r>
          </w:p>
        </w:tc>
        <w:tc>
          <w:tcPr>
            <w:tcW w:w="2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20</w:t>
            </w:r>
          </w:p>
        </w:tc>
      </w:tr>
      <w:tr>
        <w:tblPrEx>
          <w:tblLayout w:type="fixed"/>
          <w:tblCellMar>
            <w:top w:w="0" w:type="dxa"/>
            <w:left w:w="0" w:type="dxa"/>
            <w:bottom w:w="0" w:type="dxa"/>
            <w:right w:w="0" w:type="dxa"/>
          </w:tblCellMar>
        </w:tblPrEx>
        <w:tc>
          <w:tcPr>
            <w:tcW w:w="14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ind w:firstLine="240" w:firstLineChars="100"/>
              <w:rPr>
                <w:rFonts w:ascii="宋体" w:hAnsi="宋体" w:cs="宋体"/>
                <w:kern w:val="0"/>
                <w:sz w:val="24"/>
              </w:rPr>
            </w:pPr>
            <w:r>
              <w:rPr>
                <w:rFonts w:hint="eastAsia" w:ascii="宋体" w:hAnsi="宋体" w:cs="宋体"/>
                <w:kern w:val="0"/>
                <w:sz w:val="24"/>
              </w:rPr>
              <w:t>其它</w:t>
            </w:r>
          </w:p>
        </w:tc>
        <w:tc>
          <w:tcPr>
            <w:tcW w:w="1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center"/>
              <w:rPr>
                <w:rFonts w:ascii="宋体" w:hAnsi="宋体" w:cs="宋体"/>
                <w:kern w:val="0"/>
                <w:sz w:val="24"/>
              </w:rPr>
            </w:pPr>
            <w:r>
              <w:rPr>
                <w:rFonts w:ascii="宋体" w:hAnsi="宋体" w:cs="宋体"/>
                <w:kern w:val="0"/>
                <w:sz w:val="24"/>
              </w:rPr>
              <w:t>40</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20</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10</w:t>
            </w:r>
          </w:p>
        </w:tc>
        <w:tc>
          <w:tcPr>
            <w:tcW w:w="2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5</w:t>
            </w:r>
          </w:p>
        </w:tc>
      </w:tr>
    </w:tbl>
    <w:p>
      <w:pPr>
        <w:spacing w:line="360" w:lineRule="auto"/>
        <w:rPr>
          <w:rFonts w:ascii="宋体" w:hAnsi="宋体"/>
          <w:color w:val="000000"/>
          <w:szCs w:val="21"/>
        </w:rPr>
      </w:pPr>
      <w:r>
        <w:rPr>
          <w:rFonts w:hint="eastAsia" w:ascii="宋体" w:hAnsi="宋体"/>
          <w:color w:val="000000"/>
          <w:szCs w:val="21"/>
        </w:rPr>
        <w:t>注：（1）全国、省部级、厅局级获奖级别的认定，根据颁发荣誉证书的单位级别，由评审委员会参照浙江大学社会科学研究院规定的标准进行认定。</w:t>
      </w:r>
    </w:p>
    <w:p>
      <w:pPr>
        <w:spacing w:line="360" w:lineRule="auto"/>
        <w:ind w:firstLine="315" w:firstLineChars="150"/>
        <w:rPr>
          <w:rFonts w:ascii="宋体" w:hAnsi="宋体" w:cs="宋体"/>
          <w:kern w:val="0"/>
          <w:szCs w:val="21"/>
        </w:rPr>
      </w:pPr>
      <w:r>
        <w:rPr>
          <w:rFonts w:hint="eastAsia" w:ascii="宋体" w:hAnsi="宋体"/>
          <w:color w:val="000000"/>
          <w:szCs w:val="21"/>
        </w:rPr>
        <w:t>（2）如以团队名义参加的</w:t>
      </w:r>
      <w:r>
        <w:rPr>
          <w:rFonts w:hint="eastAsia" w:ascii="宋体" w:hAnsi="宋体"/>
          <w:szCs w:val="21"/>
        </w:rPr>
        <w:t>，可内部协调根据团队贡献分配加分，</w:t>
      </w:r>
      <w:r>
        <w:rPr>
          <w:rFonts w:hint="eastAsia" w:ascii="宋体" w:hAnsi="宋体"/>
          <w:color w:val="000000"/>
          <w:szCs w:val="21"/>
        </w:rPr>
        <w:t>但排名第一位的不超过团体加分的70%；如果未能协商一致，排名第一位的视同第一作者，排名第二位</w:t>
      </w:r>
      <w:r>
        <w:rPr>
          <w:rFonts w:ascii="宋体" w:hAnsi="宋体"/>
          <w:color w:val="000000"/>
          <w:szCs w:val="21"/>
        </w:rPr>
        <w:t>、第三位</w:t>
      </w:r>
      <w:r>
        <w:rPr>
          <w:rFonts w:hint="eastAsia" w:ascii="宋体" w:hAnsi="宋体"/>
          <w:color w:val="000000"/>
          <w:szCs w:val="21"/>
        </w:rPr>
        <w:t>的，视同第二作者，排名在第四位以后的，视同第三作者。全国、省级获奖项目，限排名前八位；</w:t>
      </w:r>
      <w:r>
        <w:rPr>
          <w:rFonts w:ascii="宋体" w:hAnsi="宋体"/>
          <w:color w:val="000000"/>
          <w:szCs w:val="21"/>
        </w:rPr>
        <w:t>相应系数和</w:t>
      </w:r>
      <w:r>
        <w:rPr>
          <w:rFonts w:hint="eastAsia" w:ascii="宋体" w:hAnsi="宋体"/>
          <w:color w:val="000000"/>
          <w:szCs w:val="21"/>
        </w:rPr>
        <w:t>论文</w:t>
      </w:r>
      <w:r>
        <w:rPr>
          <w:rFonts w:ascii="宋体" w:hAnsi="宋体"/>
          <w:color w:val="000000"/>
          <w:szCs w:val="21"/>
        </w:rPr>
        <w:t>积分中一致。</w:t>
      </w:r>
      <w:r>
        <w:rPr>
          <w:rFonts w:hint="eastAsia" w:ascii="宋体" w:hAnsi="宋体"/>
          <w:color w:val="000000"/>
          <w:szCs w:val="21"/>
        </w:rPr>
        <w:t>同一</w:t>
      </w:r>
      <w:r>
        <w:rPr>
          <w:rFonts w:ascii="宋体" w:hAnsi="宋体"/>
          <w:color w:val="000000"/>
          <w:szCs w:val="21"/>
        </w:rPr>
        <w:t>项目</w:t>
      </w:r>
      <w:r>
        <w:rPr>
          <w:rFonts w:hint="eastAsia" w:ascii="宋体" w:hAnsi="宋体"/>
          <w:color w:val="000000"/>
          <w:szCs w:val="21"/>
        </w:rPr>
        <w:t>取</w:t>
      </w:r>
      <w:r>
        <w:rPr>
          <w:rFonts w:ascii="宋体" w:hAnsi="宋体"/>
          <w:color w:val="000000"/>
          <w:szCs w:val="21"/>
        </w:rPr>
        <w:t>最高获奖</w:t>
      </w:r>
      <w:r>
        <w:rPr>
          <w:rFonts w:hint="eastAsia" w:ascii="宋体" w:hAnsi="宋体"/>
          <w:color w:val="000000"/>
          <w:szCs w:val="21"/>
        </w:rPr>
        <w:t>计分</w:t>
      </w:r>
      <w:r>
        <w:rPr>
          <w:rFonts w:ascii="宋体" w:hAnsi="宋体"/>
          <w:color w:val="000000"/>
          <w:szCs w:val="21"/>
        </w:rPr>
        <w:t>，不重复计算。</w:t>
      </w:r>
    </w:p>
    <w:p>
      <w:pPr>
        <w:spacing w:line="360" w:lineRule="auto"/>
        <w:ind w:firstLine="361" w:firstLineChars="150"/>
        <w:rPr>
          <w:rFonts w:ascii="宋体" w:hAnsi="宋体" w:cs="宋体"/>
          <w:b/>
          <w:kern w:val="0"/>
          <w:szCs w:val="21"/>
        </w:rPr>
      </w:pPr>
      <w:r>
        <w:rPr>
          <w:rFonts w:hint="eastAsia" w:ascii="宋体" w:hAnsi="宋体"/>
          <w:b/>
          <w:color w:val="000000"/>
          <w:sz w:val="24"/>
        </w:rPr>
        <w:t>6</w:t>
      </w:r>
      <w:r>
        <w:rPr>
          <w:rFonts w:ascii="宋体" w:hAnsi="宋体"/>
          <w:b/>
          <w:color w:val="000000"/>
          <w:sz w:val="24"/>
        </w:rPr>
        <w:t>.</w:t>
      </w:r>
      <w:r>
        <w:rPr>
          <w:rFonts w:hint="eastAsia" w:ascii="宋体" w:hAnsi="宋体"/>
          <w:b/>
          <w:color w:val="000000"/>
          <w:sz w:val="24"/>
        </w:rPr>
        <w:t>参加学术竞赛计分</w:t>
      </w:r>
    </w:p>
    <w:p>
      <w:pPr>
        <w:spacing w:line="360" w:lineRule="auto"/>
        <w:ind w:firstLine="360" w:firstLineChars="150"/>
        <w:rPr>
          <w:rFonts w:ascii="宋体" w:hAnsi="宋体"/>
          <w:color w:val="000000"/>
          <w:sz w:val="24"/>
        </w:rPr>
      </w:pPr>
      <w:r>
        <w:rPr>
          <w:rFonts w:hint="eastAsia" w:ascii="宋体" w:hAnsi="宋体"/>
          <w:color w:val="000000"/>
          <w:sz w:val="24"/>
        </w:rPr>
        <w:t>参加“挑战杯”大学生</w:t>
      </w:r>
      <w:r>
        <w:rPr>
          <w:rFonts w:ascii="宋体" w:hAnsi="宋体"/>
          <w:color w:val="000000"/>
          <w:sz w:val="24"/>
        </w:rPr>
        <w:t>课外科技作品</w:t>
      </w:r>
      <w:r>
        <w:rPr>
          <w:rFonts w:hint="eastAsia" w:ascii="宋体" w:hAnsi="宋体"/>
          <w:color w:val="000000"/>
          <w:sz w:val="24"/>
        </w:rPr>
        <w:t>、“蒲公英”创业计划大赛等</w:t>
      </w:r>
      <w:r>
        <w:rPr>
          <w:rFonts w:hint="eastAsia" w:ascii="宋体" w:hAnsi="宋体"/>
          <w:sz w:val="24"/>
        </w:rPr>
        <w:t>学校认定的竞赛项目获奖</w:t>
      </w:r>
      <w:r>
        <w:rPr>
          <w:rFonts w:hint="eastAsia" w:ascii="宋体" w:hAnsi="宋体"/>
          <w:color w:val="000000"/>
          <w:sz w:val="24"/>
        </w:rPr>
        <w:t>，获奖</w:t>
      </w:r>
      <w:r>
        <w:rPr>
          <w:rFonts w:ascii="宋体" w:hAnsi="宋体"/>
          <w:color w:val="000000"/>
          <w:sz w:val="24"/>
        </w:rPr>
        <w:t>加分如下：</w:t>
      </w:r>
    </w:p>
    <w:tbl>
      <w:tblPr>
        <w:tblStyle w:val="10"/>
        <w:tblW w:w="8472" w:type="dxa"/>
        <w:tblInd w:w="0" w:type="dxa"/>
        <w:tblLayout w:type="fixed"/>
        <w:tblCellMar>
          <w:top w:w="0" w:type="dxa"/>
          <w:left w:w="0" w:type="dxa"/>
          <w:bottom w:w="0" w:type="dxa"/>
          <w:right w:w="0" w:type="dxa"/>
        </w:tblCellMar>
      </w:tblPr>
      <w:tblGrid>
        <w:gridCol w:w="1420"/>
        <w:gridCol w:w="1665"/>
        <w:gridCol w:w="1559"/>
        <w:gridCol w:w="1701"/>
        <w:gridCol w:w="2127"/>
      </w:tblGrid>
      <w:tr>
        <w:tblPrEx>
          <w:tblLayout w:type="fixed"/>
          <w:tblCellMar>
            <w:top w:w="0" w:type="dxa"/>
            <w:left w:w="0" w:type="dxa"/>
            <w:bottom w:w="0" w:type="dxa"/>
            <w:right w:w="0" w:type="dxa"/>
          </w:tblCellMar>
        </w:tblPrEx>
        <w:tc>
          <w:tcPr>
            <w:tcW w:w="1420" w:type="dxa"/>
            <w:tcBorders>
              <w:top w:val="single" w:color="auto" w:sz="8"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获</w:t>
            </w:r>
            <w:r>
              <w:rPr>
                <w:rFonts w:ascii="宋体" w:hAnsi="宋体" w:cs="宋体"/>
                <w:kern w:val="0"/>
                <w:sz w:val="24"/>
              </w:rPr>
              <w:t>奖级别</w:t>
            </w:r>
          </w:p>
        </w:tc>
        <w:tc>
          <w:tcPr>
            <w:tcW w:w="166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center"/>
              <w:rPr>
                <w:rFonts w:ascii="宋体" w:hAnsi="宋体" w:cs="宋体"/>
                <w:kern w:val="0"/>
                <w:sz w:val="24"/>
              </w:rPr>
            </w:pPr>
            <w:r>
              <w:rPr>
                <w:rFonts w:hint="eastAsia" w:ascii="宋体" w:hAnsi="宋体" w:cs="宋体"/>
                <w:kern w:val="0"/>
                <w:sz w:val="24"/>
              </w:rPr>
              <w:t>特等</w:t>
            </w:r>
          </w:p>
        </w:tc>
        <w:tc>
          <w:tcPr>
            <w:tcW w:w="1559" w:type="dxa"/>
            <w:tcBorders>
              <w:top w:val="single" w:color="auto" w:sz="8"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一</w:t>
            </w:r>
          </w:p>
        </w:tc>
        <w:tc>
          <w:tcPr>
            <w:tcW w:w="1701" w:type="dxa"/>
            <w:tcBorders>
              <w:top w:val="single" w:color="auto" w:sz="8"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二</w:t>
            </w:r>
          </w:p>
        </w:tc>
        <w:tc>
          <w:tcPr>
            <w:tcW w:w="2127" w:type="dxa"/>
            <w:tcBorders>
              <w:top w:val="single" w:color="auto" w:sz="8"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三</w:t>
            </w:r>
          </w:p>
        </w:tc>
      </w:tr>
      <w:tr>
        <w:tblPrEx>
          <w:tblLayout w:type="fixed"/>
          <w:tblCellMar>
            <w:top w:w="0" w:type="dxa"/>
            <w:left w:w="0" w:type="dxa"/>
            <w:bottom w:w="0" w:type="dxa"/>
            <w:right w:w="0" w:type="dxa"/>
          </w:tblCellMar>
        </w:tblPrEx>
        <w:tc>
          <w:tcPr>
            <w:tcW w:w="14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全国</w:t>
            </w:r>
          </w:p>
        </w:tc>
        <w:tc>
          <w:tcPr>
            <w:tcW w:w="1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center"/>
              <w:rPr>
                <w:rFonts w:ascii="宋体" w:hAnsi="宋体" w:cs="宋体"/>
                <w:kern w:val="0"/>
                <w:sz w:val="24"/>
              </w:rPr>
            </w:pPr>
            <w:r>
              <w:rPr>
                <w:rFonts w:hint="eastAsia" w:ascii="宋体" w:hAnsi="宋体" w:cs="宋体"/>
                <w:kern w:val="0"/>
                <w:sz w:val="24"/>
              </w:rPr>
              <w:t>100</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60</w:t>
            </w:r>
          </w:p>
        </w:tc>
        <w:tc>
          <w:tcPr>
            <w:tcW w:w="212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40</w:t>
            </w:r>
          </w:p>
        </w:tc>
      </w:tr>
      <w:tr>
        <w:tblPrEx>
          <w:tblLayout w:type="fixed"/>
          <w:tblCellMar>
            <w:top w:w="0" w:type="dxa"/>
            <w:left w:w="0" w:type="dxa"/>
            <w:bottom w:w="0" w:type="dxa"/>
            <w:right w:w="0" w:type="dxa"/>
          </w:tblCellMar>
        </w:tblPrEx>
        <w:tc>
          <w:tcPr>
            <w:tcW w:w="14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省级</w:t>
            </w:r>
          </w:p>
        </w:tc>
        <w:tc>
          <w:tcPr>
            <w:tcW w:w="1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center"/>
              <w:rPr>
                <w:rFonts w:ascii="宋体" w:hAnsi="宋体" w:cs="宋体"/>
                <w:kern w:val="0"/>
                <w:sz w:val="24"/>
              </w:rPr>
            </w:pPr>
            <w:r>
              <w:rPr>
                <w:rFonts w:hint="eastAsia" w:ascii="宋体" w:hAnsi="宋体" w:cs="宋体"/>
                <w:kern w:val="0"/>
                <w:sz w:val="24"/>
              </w:rPr>
              <w:t>80</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40</w:t>
            </w:r>
          </w:p>
        </w:tc>
        <w:tc>
          <w:tcPr>
            <w:tcW w:w="212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20</w:t>
            </w:r>
          </w:p>
        </w:tc>
      </w:tr>
      <w:tr>
        <w:tblPrEx>
          <w:tblLayout w:type="fixed"/>
          <w:tblCellMar>
            <w:top w:w="0" w:type="dxa"/>
            <w:left w:w="0" w:type="dxa"/>
            <w:bottom w:w="0" w:type="dxa"/>
            <w:right w:w="0" w:type="dxa"/>
          </w:tblCellMar>
        </w:tblPrEx>
        <w:tc>
          <w:tcPr>
            <w:tcW w:w="14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校级</w:t>
            </w:r>
          </w:p>
        </w:tc>
        <w:tc>
          <w:tcPr>
            <w:tcW w:w="16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pacing w:line="360" w:lineRule="auto"/>
              <w:jc w:val="center"/>
              <w:rPr>
                <w:rFonts w:ascii="宋体" w:hAnsi="宋体" w:cs="宋体"/>
                <w:kern w:val="0"/>
                <w:sz w:val="24"/>
              </w:rPr>
            </w:pPr>
            <w:r>
              <w:rPr>
                <w:rFonts w:hint="eastAsia" w:ascii="宋体" w:hAnsi="宋体" w:cs="宋体"/>
                <w:kern w:val="0"/>
                <w:sz w:val="24"/>
              </w:rPr>
              <w:t>60</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40</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20</w:t>
            </w:r>
          </w:p>
        </w:tc>
        <w:tc>
          <w:tcPr>
            <w:tcW w:w="212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r>
    </w:tbl>
    <w:p>
      <w:pPr>
        <w:spacing w:line="360" w:lineRule="auto"/>
        <w:ind w:firstLine="600" w:firstLineChars="250"/>
        <w:rPr>
          <w:rFonts w:ascii="宋体" w:hAnsi="宋体"/>
          <w:sz w:val="24"/>
        </w:rPr>
      </w:pPr>
      <w:r>
        <w:rPr>
          <w:rFonts w:hint="eastAsia" w:ascii="宋体" w:hAnsi="宋体"/>
          <w:sz w:val="24"/>
        </w:rPr>
        <w:t>参加Jessup、贸仲杯等全国</w:t>
      </w:r>
      <w:r>
        <w:rPr>
          <w:rFonts w:ascii="宋体" w:hAnsi="宋体"/>
          <w:sz w:val="24"/>
        </w:rPr>
        <w:t>性</w:t>
      </w:r>
      <w:r>
        <w:rPr>
          <w:rFonts w:hint="eastAsia" w:ascii="宋体" w:hAnsi="宋体"/>
          <w:sz w:val="24"/>
        </w:rPr>
        <w:t>专业学术竞赛活动，获奖加分如下：</w:t>
      </w:r>
    </w:p>
    <w:tbl>
      <w:tblPr>
        <w:tblStyle w:val="10"/>
        <w:tblW w:w="7100" w:type="dxa"/>
        <w:jc w:val="center"/>
        <w:tblInd w:w="0" w:type="dxa"/>
        <w:tblLayout w:type="fixed"/>
        <w:tblCellMar>
          <w:top w:w="0" w:type="dxa"/>
          <w:left w:w="0" w:type="dxa"/>
          <w:bottom w:w="0" w:type="dxa"/>
          <w:right w:w="0" w:type="dxa"/>
        </w:tblCellMar>
      </w:tblPr>
      <w:tblGrid>
        <w:gridCol w:w="1420"/>
        <w:gridCol w:w="1420"/>
        <w:gridCol w:w="1420"/>
        <w:gridCol w:w="1420"/>
        <w:gridCol w:w="1420"/>
      </w:tblGrid>
      <w:tr>
        <w:tblPrEx>
          <w:tblLayout w:type="fixed"/>
          <w:tblCellMar>
            <w:top w:w="0" w:type="dxa"/>
            <w:left w:w="0" w:type="dxa"/>
            <w:bottom w:w="0" w:type="dxa"/>
            <w:right w:w="0" w:type="dxa"/>
          </w:tblCellMar>
        </w:tblPrEx>
        <w:trPr>
          <w:jc w:val="center"/>
        </w:trPr>
        <w:tc>
          <w:tcPr>
            <w:tcW w:w="1420"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获</w:t>
            </w:r>
            <w:r>
              <w:rPr>
                <w:rFonts w:ascii="宋体" w:hAnsi="宋体" w:cs="宋体"/>
                <w:kern w:val="0"/>
                <w:sz w:val="24"/>
              </w:rPr>
              <w:t>奖级别</w:t>
            </w:r>
          </w:p>
        </w:tc>
        <w:tc>
          <w:tcPr>
            <w:tcW w:w="14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一</w:t>
            </w:r>
          </w:p>
        </w:tc>
        <w:tc>
          <w:tcPr>
            <w:tcW w:w="14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二</w:t>
            </w:r>
          </w:p>
        </w:tc>
        <w:tc>
          <w:tcPr>
            <w:tcW w:w="14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三</w:t>
            </w:r>
          </w:p>
        </w:tc>
        <w:tc>
          <w:tcPr>
            <w:tcW w:w="1420"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其他</w:t>
            </w:r>
          </w:p>
        </w:tc>
      </w:tr>
      <w:tr>
        <w:tblPrEx>
          <w:tblLayout w:type="fixed"/>
          <w:tblCellMar>
            <w:top w:w="0" w:type="dxa"/>
            <w:left w:w="0" w:type="dxa"/>
            <w:bottom w:w="0" w:type="dxa"/>
            <w:right w:w="0" w:type="dxa"/>
          </w:tblCellMar>
        </w:tblPrEx>
        <w:trPr>
          <w:jc w:val="center"/>
        </w:trPr>
        <w:tc>
          <w:tcPr>
            <w:tcW w:w="14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分值</w:t>
            </w:r>
          </w:p>
        </w:tc>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40</w:t>
            </w:r>
          </w:p>
        </w:tc>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30</w:t>
            </w:r>
          </w:p>
        </w:tc>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20</w:t>
            </w:r>
          </w:p>
        </w:tc>
        <w:tc>
          <w:tcPr>
            <w:tcW w:w="142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r>
    </w:tbl>
    <w:p>
      <w:pPr>
        <w:spacing w:line="360" w:lineRule="auto"/>
        <w:ind w:firstLine="600" w:firstLineChars="250"/>
        <w:rPr>
          <w:rFonts w:ascii="宋体" w:hAnsi="宋体"/>
          <w:sz w:val="24"/>
        </w:rPr>
      </w:pPr>
      <w:r>
        <w:rPr>
          <w:rFonts w:hint="eastAsia" w:ascii="宋体" w:hAnsi="宋体"/>
          <w:sz w:val="24"/>
        </w:rPr>
        <w:t>参加“光华-凯富”案例比赛等学院组织的学术竞赛活动，获奖加分如下：</w:t>
      </w:r>
    </w:p>
    <w:tbl>
      <w:tblPr>
        <w:tblStyle w:val="10"/>
        <w:tblW w:w="7100" w:type="dxa"/>
        <w:jc w:val="center"/>
        <w:tblInd w:w="0" w:type="dxa"/>
        <w:tblLayout w:type="fixed"/>
        <w:tblCellMar>
          <w:top w:w="0" w:type="dxa"/>
          <w:left w:w="0" w:type="dxa"/>
          <w:bottom w:w="0" w:type="dxa"/>
          <w:right w:w="0" w:type="dxa"/>
        </w:tblCellMar>
      </w:tblPr>
      <w:tblGrid>
        <w:gridCol w:w="1420"/>
        <w:gridCol w:w="1420"/>
        <w:gridCol w:w="1420"/>
        <w:gridCol w:w="1420"/>
        <w:gridCol w:w="1420"/>
      </w:tblGrid>
      <w:tr>
        <w:tblPrEx>
          <w:tblLayout w:type="fixed"/>
          <w:tblCellMar>
            <w:top w:w="0" w:type="dxa"/>
            <w:left w:w="0" w:type="dxa"/>
            <w:bottom w:w="0" w:type="dxa"/>
            <w:right w:w="0" w:type="dxa"/>
          </w:tblCellMar>
        </w:tblPrEx>
        <w:trPr>
          <w:jc w:val="center"/>
        </w:trPr>
        <w:tc>
          <w:tcPr>
            <w:tcW w:w="1420"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获</w:t>
            </w:r>
            <w:r>
              <w:rPr>
                <w:rFonts w:ascii="宋体" w:hAnsi="宋体" w:cs="宋体"/>
                <w:kern w:val="0"/>
                <w:sz w:val="24"/>
              </w:rPr>
              <w:t>奖级别</w:t>
            </w:r>
          </w:p>
        </w:tc>
        <w:tc>
          <w:tcPr>
            <w:tcW w:w="14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一</w:t>
            </w:r>
          </w:p>
        </w:tc>
        <w:tc>
          <w:tcPr>
            <w:tcW w:w="14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二</w:t>
            </w:r>
          </w:p>
        </w:tc>
        <w:tc>
          <w:tcPr>
            <w:tcW w:w="14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三</w:t>
            </w:r>
          </w:p>
        </w:tc>
        <w:tc>
          <w:tcPr>
            <w:tcW w:w="1420"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其他</w:t>
            </w:r>
          </w:p>
        </w:tc>
      </w:tr>
      <w:tr>
        <w:tblPrEx>
          <w:tblLayout w:type="fixed"/>
          <w:tblCellMar>
            <w:top w:w="0" w:type="dxa"/>
            <w:left w:w="0" w:type="dxa"/>
            <w:bottom w:w="0" w:type="dxa"/>
            <w:right w:w="0" w:type="dxa"/>
          </w:tblCellMar>
        </w:tblPrEx>
        <w:trPr>
          <w:jc w:val="center"/>
        </w:trPr>
        <w:tc>
          <w:tcPr>
            <w:tcW w:w="14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分值</w:t>
            </w:r>
          </w:p>
        </w:tc>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15</w:t>
            </w:r>
          </w:p>
        </w:tc>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10</w:t>
            </w:r>
          </w:p>
        </w:tc>
        <w:tc>
          <w:tcPr>
            <w:tcW w:w="14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5</w:t>
            </w:r>
          </w:p>
        </w:tc>
        <w:tc>
          <w:tcPr>
            <w:tcW w:w="1420"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3</w:t>
            </w:r>
          </w:p>
        </w:tc>
      </w:tr>
    </w:tbl>
    <w:p>
      <w:pPr>
        <w:spacing w:line="360" w:lineRule="auto"/>
        <w:rPr>
          <w:rFonts w:ascii="宋体" w:hAnsi="宋体"/>
          <w:color w:val="000000"/>
          <w:szCs w:val="21"/>
        </w:rPr>
      </w:pPr>
      <w:r>
        <w:rPr>
          <w:rFonts w:hint="eastAsia" w:ascii="宋体" w:hAnsi="宋体"/>
          <w:color w:val="000000"/>
          <w:szCs w:val="21"/>
        </w:rPr>
        <w:t>注：（1）学校认定的竞赛项目，研究生院没有明确规定的，参考本科生院公布的相关目录。</w:t>
      </w:r>
    </w:p>
    <w:p>
      <w:pPr>
        <w:spacing w:line="360" w:lineRule="auto"/>
        <w:ind w:firstLine="315" w:firstLineChars="150"/>
        <w:rPr>
          <w:rFonts w:ascii="宋体" w:hAnsi="宋体"/>
          <w:color w:val="000000"/>
          <w:szCs w:val="21"/>
        </w:rPr>
      </w:pPr>
      <w:r>
        <w:rPr>
          <w:rFonts w:hint="eastAsia" w:ascii="宋体" w:hAnsi="宋体"/>
          <w:color w:val="000000"/>
          <w:szCs w:val="21"/>
        </w:rPr>
        <w:t>（2）以上参赛项目，如以团队名义参加的</w:t>
      </w:r>
      <w:r>
        <w:rPr>
          <w:rFonts w:hint="eastAsia" w:ascii="宋体" w:hAnsi="宋体"/>
          <w:szCs w:val="21"/>
        </w:rPr>
        <w:t>，可内部协调根据团队贡献分配加分，</w:t>
      </w:r>
      <w:r>
        <w:rPr>
          <w:rFonts w:hint="eastAsia" w:ascii="宋体" w:hAnsi="宋体"/>
          <w:color w:val="000000"/>
          <w:szCs w:val="21"/>
        </w:rPr>
        <w:t>但排名第一位的不超过团体加分的70%；如果未能协商一致，排名第一位的视同第一作者，排名2－3的，视同第二作者，排名在第四以后的，视同第三作者。其中学校获奖项目，限排名前五作者，全国、省级获奖项目，限排名前八位；</w:t>
      </w:r>
      <w:r>
        <w:rPr>
          <w:rFonts w:ascii="宋体" w:hAnsi="宋体"/>
          <w:color w:val="000000"/>
          <w:szCs w:val="21"/>
        </w:rPr>
        <w:t>相应系数和</w:t>
      </w:r>
      <w:r>
        <w:rPr>
          <w:rFonts w:hint="eastAsia" w:ascii="宋体" w:hAnsi="宋体"/>
          <w:color w:val="000000"/>
          <w:szCs w:val="21"/>
        </w:rPr>
        <w:t>论文</w:t>
      </w:r>
      <w:r>
        <w:rPr>
          <w:rFonts w:ascii="宋体" w:hAnsi="宋体"/>
          <w:color w:val="000000"/>
          <w:szCs w:val="21"/>
        </w:rPr>
        <w:t>积分中一致。</w:t>
      </w:r>
      <w:r>
        <w:rPr>
          <w:rFonts w:hint="eastAsia" w:ascii="宋体" w:hAnsi="宋体"/>
          <w:color w:val="000000"/>
          <w:szCs w:val="21"/>
        </w:rPr>
        <w:t>同一</w:t>
      </w:r>
      <w:r>
        <w:rPr>
          <w:rFonts w:ascii="宋体" w:hAnsi="宋体"/>
          <w:color w:val="000000"/>
          <w:szCs w:val="21"/>
        </w:rPr>
        <w:t>项目</w:t>
      </w:r>
      <w:r>
        <w:rPr>
          <w:rFonts w:hint="eastAsia" w:ascii="宋体" w:hAnsi="宋体"/>
          <w:color w:val="000000"/>
          <w:szCs w:val="21"/>
        </w:rPr>
        <w:t>取</w:t>
      </w:r>
      <w:r>
        <w:rPr>
          <w:rFonts w:ascii="宋体" w:hAnsi="宋体"/>
          <w:color w:val="000000"/>
          <w:szCs w:val="21"/>
        </w:rPr>
        <w:t>最高获奖</w:t>
      </w:r>
      <w:r>
        <w:rPr>
          <w:rFonts w:hint="eastAsia" w:ascii="宋体" w:hAnsi="宋体"/>
          <w:color w:val="000000"/>
          <w:szCs w:val="21"/>
        </w:rPr>
        <w:t>计分</w:t>
      </w:r>
      <w:r>
        <w:rPr>
          <w:rFonts w:ascii="宋体" w:hAnsi="宋体"/>
          <w:color w:val="000000"/>
          <w:szCs w:val="21"/>
        </w:rPr>
        <w:t>，不重复计算。</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（二）</w:t>
      </w:r>
      <w:r>
        <w:rPr>
          <w:rFonts w:ascii="宋体" w:hAnsi="宋体" w:cs="宋体"/>
          <w:b/>
          <w:kern w:val="0"/>
          <w:sz w:val="24"/>
        </w:rPr>
        <w:t>社会工作计分</w:t>
      </w:r>
    </w:p>
    <w:p>
      <w:pPr>
        <w:widowControl/>
        <w:spacing w:line="360" w:lineRule="auto"/>
        <w:ind w:left="-4" w:leftChars="-2" w:firstLine="482" w:firstLineChars="200"/>
        <w:rPr>
          <w:rFonts w:ascii="宋体" w:hAnsi="宋体" w:cs="宋体"/>
          <w:b/>
          <w:kern w:val="0"/>
          <w:sz w:val="24"/>
        </w:rPr>
      </w:pPr>
      <w:r>
        <w:rPr>
          <w:rFonts w:hint="eastAsia" w:ascii="宋体" w:hAnsi="宋体" w:cs="宋体"/>
          <w:b/>
          <w:kern w:val="0"/>
          <w:sz w:val="24"/>
        </w:rPr>
        <w:t>1.适用对象：在校、院两级各单位部门或学生组织任期满一年及以上的研究生干部。</w:t>
      </w:r>
    </w:p>
    <w:p>
      <w:pPr>
        <w:widowControl/>
        <w:spacing w:line="360" w:lineRule="auto"/>
        <w:ind w:left="-4" w:leftChars="-2" w:firstLine="482" w:firstLineChars="200"/>
        <w:rPr>
          <w:rFonts w:ascii="宋体" w:hAnsi="宋体" w:cs="宋体"/>
          <w:b/>
          <w:kern w:val="0"/>
          <w:sz w:val="24"/>
        </w:rPr>
      </w:pPr>
      <w:r>
        <w:rPr>
          <w:rFonts w:hint="eastAsia" w:ascii="宋体" w:hAnsi="宋体" w:cs="宋体"/>
          <w:b/>
          <w:kern w:val="0"/>
          <w:sz w:val="24"/>
        </w:rPr>
        <w:t>2.各类研究生干部计分</w:t>
      </w:r>
    </w:p>
    <w:tbl>
      <w:tblPr>
        <w:tblStyle w:val="10"/>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2477"/>
        <w:gridCol w:w="1276"/>
        <w:gridCol w:w="129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类别</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职务</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考核</w:t>
            </w:r>
            <w:r>
              <w:rPr>
                <w:rFonts w:ascii="宋体" w:hAnsi="宋体" w:cs="宋体"/>
                <w:kern w:val="0"/>
                <w:sz w:val="24"/>
              </w:rPr>
              <w:t>优秀</w:t>
            </w:r>
          </w:p>
        </w:tc>
        <w:tc>
          <w:tcPr>
            <w:tcW w:w="129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考核良好</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校团委挂职、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院团委</w:t>
            </w:r>
            <w:r>
              <w:rPr>
                <w:rFonts w:ascii="宋体" w:hAnsi="宋体" w:cs="宋体"/>
                <w:kern w:val="0"/>
                <w:sz w:val="24"/>
              </w:rPr>
              <w:t>挂职</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副书记、书记助理</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12</w:t>
            </w:r>
          </w:p>
        </w:tc>
        <w:tc>
          <w:tcPr>
            <w:tcW w:w="129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校级博士生会、</w:t>
            </w:r>
          </w:p>
          <w:p>
            <w:pPr>
              <w:widowControl/>
              <w:spacing w:line="360" w:lineRule="auto"/>
              <w:jc w:val="center"/>
              <w:rPr>
                <w:rFonts w:ascii="宋体" w:hAnsi="宋体" w:cs="宋体"/>
                <w:kern w:val="0"/>
                <w:sz w:val="24"/>
              </w:rPr>
            </w:pPr>
            <w:r>
              <w:rPr>
                <w:rFonts w:hint="eastAsia" w:ascii="宋体" w:hAnsi="宋体" w:cs="宋体"/>
                <w:kern w:val="0"/>
                <w:sz w:val="24"/>
              </w:rPr>
              <w:t>研究生会</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主席、副主席</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12</w:t>
            </w:r>
          </w:p>
        </w:tc>
        <w:tc>
          <w:tcPr>
            <w:tcW w:w="129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其他兼职</w:t>
            </w:r>
            <w:r>
              <w:rPr>
                <w:rFonts w:ascii="宋体" w:hAnsi="宋体" w:cs="宋体"/>
                <w:kern w:val="0"/>
                <w:sz w:val="24"/>
              </w:rPr>
              <w:t>辅导员</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本科生兼职</w:t>
            </w:r>
            <w:r>
              <w:rPr>
                <w:rFonts w:ascii="宋体" w:hAnsi="宋体" w:cs="宋体"/>
                <w:kern w:val="0"/>
                <w:sz w:val="24"/>
              </w:rPr>
              <w:t>辅导员</w:t>
            </w:r>
            <w:r>
              <w:rPr>
                <w:rFonts w:hint="eastAsia" w:ascii="宋体" w:hAnsi="宋体" w:cs="宋体"/>
                <w:kern w:val="0"/>
                <w:sz w:val="24"/>
              </w:rPr>
              <w:t>、</w:t>
            </w:r>
            <w:r>
              <w:rPr>
                <w:rFonts w:ascii="宋体" w:hAnsi="宋体" w:cs="宋体"/>
                <w:kern w:val="0"/>
                <w:sz w:val="24"/>
              </w:rPr>
              <w:t>研究生兼职辅导员</w:t>
            </w:r>
            <w:r>
              <w:rPr>
                <w:rFonts w:hint="eastAsia" w:ascii="宋体" w:hAnsi="宋体" w:cs="宋体"/>
                <w:kern w:val="0"/>
                <w:sz w:val="24"/>
              </w:rPr>
              <w:t>、</w:t>
            </w:r>
            <w:r>
              <w:rPr>
                <w:rFonts w:ascii="宋体" w:hAnsi="宋体" w:cs="宋体"/>
                <w:kern w:val="0"/>
                <w:sz w:val="24"/>
              </w:rPr>
              <w:t>就业辅导员</w:t>
            </w:r>
            <w:r>
              <w:rPr>
                <w:rFonts w:hint="eastAsia" w:ascii="宋体" w:hAnsi="宋体" w:cs="宋体"/>
                <w:kern w:val="0"/>
                <w:sz w:val="24"/>
              </w:rPr>
              <w:t>、本科生党总支秘书、研究生党总支秘书、求是</w:t>
            </w:r>
            <w:r>
              <w:rPr>
                <w:rFonts w:ascii="宋体" w:hAnsi="宋体" w:cs="宋体"/>
                <w:kern w:val="0"/>
                <w:sz w:val="24"/>
              </w:rPr>
              <w:t>学院选聘的</w:t>
            </w:r>
            <w:r>
              <w:rPr>
                <w:rFonts w:hint="eastAsia" w:ascii="宋体" w:hAnsi="宋体" w:cs="宋体"/>
                <w:kern w:val="0"/>
                <w:sz w:val="24"/>
              </w:rPr>
              <w:t>兼职</w:t>
            </w:r>
            <w:r>
              <w:rPr>
                <w:rFonts w:ascii="宋体" w:hAnsi="宋体" w:cs="宋体"/>
                <w:kern w:val="0"/>
                <w:sz w:val="24"/>
              </w:rPr>
              <w:t>辅导员</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129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院级博士生会、研究生会、法律硕士协会、党员之家管委会、</w:t>
            </w:r>
            <w:r>
              <w:rPr>
                <w:rFonts w:ascii="宋体" w:hAnsi="宋体" w:cs="宋体"/>
                <w:kern w:val="0"/>
                <w:sz w:val="24"/>
              </w:rPr>
              <w:t>团委各部门</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主席、副主席、主任</w:t>
            </w:r>
            <w:r>
              <w:rPr>
                <w:rFonts w:ascii="宋体" w:hAnsi="宋体" w:cs="宋体"/>
                <w:kern w:val="0"/>
                <w:sz w:val="24"/>
              </w:rPr>
              <w:t>、副主任</w:t>
            </w:r>
            <w:r>
              <w:rPr>
                <w:rFonts w:hint="eastAsia" w:ascii="宋体" w:hAnsi="宋体" w:cs="宋体"/>
                <w:kern w:val="0"/>
                <w:sz w:val="24"/>
              </w:rPr>
              <w:t>、团委</w:t>
            </w:r>
            <w:r>
              <w:rPr>
                <w:rFonts w:ascii="宋体" w:hAnsi="宋体" w:cs="宋体"/>
                <w:kern w:val="0"/>
                <w:sz w:val="24"/>
              </w:rPr>
              <w:t>部门部长</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129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校、院其他学生组织</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骨干</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1291" w:type="dxa"/>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党支部</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书记</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1291" w:type="dxa"/>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Merge w:val="continue"/>
            <w:vAlign w:val="center"/>
          </w:tcPr>
          <w:p>
            <w:pPr>
              <w:widowControl/>
              <w:spacing w:line="360" w:lineRule="auto"/>
              <w:jc w:val="center"/>
              <w:rPr>
                <w:rFonts w:ascii="宋体" w:hAnsi="宋体" w:cs="宋体"/>
                <w:kern w:val="0"/>
                <w:sz w:val="24"/>
              </w:rPr>
            </w:pP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其他支委</w:t>
            </w:r>
          </w:p>
        </w:tc>
        <w:tc>
          <w:tcPr>
            <w:tcW w:w="1276" w:type="dxa"/>
            <w:vAlign w:val="center"/>
          </w:tcPr>
          <w:p>
            <w:pPr>
              <w:widowControl/>
              <w:spacing w:line="360" w:lineRule="auto"/>
              <w:jc w:val="center"/>
              <w:rPr>
                <w:rFonts w:ascii="宋体" w:hAnsi="宋体" w:cs="宋体"/>
                <w:kern w:val="0"/>
                <w:sz w:val="24"/>
              </w:rPr>
            </w:pPr>
            <w:r>
              <w:rPr>
                <w:rFonts w:ascii="宋体" w:hAnsi="宋体" w:cs="宋体"/>
                <w:kern w:val="0"/>
                <w:sz w:val="24"/>
              </w:rPr>
              <w:t>4</w:t>
            </w:r>
          </w:p>
        </w:tc>
        <w:tc>
          <w:tcPr>
            <w:tcW w:w="1291" w:type="dxa"/>
            <w:vAlign w:val="center"/>
          </w:tcPr>
          <w:p>
            <w:pPr>
              <w:widowControl/>
              <w:spacing w:line="360" w:lineRule="auto"/>
              <w:jc w:val="center"/>
              <w:rPr>
                <w:rFonts w:ascii="宋体" w:hAnsi="宋体" w:cs="宋体"/>
                <w:kern w:val="0"/>
                <w:sz w:val="24"/>
              </w:rPr>
            </w:pPr>
            <w:r>
              <w:rPr>
                <w:rFonts w:ascii="宋体" w:hAnsi="宋体" w:cs="宋体"/>
                <w:kern w:val="0"/>
                <w:sz w:val="24"/>
              </w:rPr>
              <w:t>3</w:t>
            </w:r>
          </w:p>
        </w:tc>
        <w:tc>
          <w:tcPr>
            <w:tcW w:w="1275" w:type="dxa"/>
            <w:vAlign w:val="center"/>
          </w:tcPr>
          <w:p>
            <w:pPr>
              <w:widowControl/>
              <w:spacing w:line="360" w:lineRule="auto"/>
              <w:jc w:val="center"/>
              <w:rPr>
                <w:rFonts w:ascii="宋体" w:hAnsi="宋体" w:cs="宋体"/>
                <w:kern w:val="0"/>
                <w:sz w:val="24"/>
              </w:rPr>
            </w:pPr>
            <w:r>
              <w:rPr>
                <w:rFonts w:ascii="宋体" w:hAnsi="宋体" w:cs="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班级/团支部</w:t>
            </w: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班长、团支书</w:t>
            </w:r>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1291" w:type="dxa"/>
            <w:vAlign w:val="center"/>
          </w:tcPr>
          <w:p>
            <w:pPr>
              <w:widowControl/>
              <w:spacing w:line="360" w:lineRule="auto"/>
              <w:jc w:val="center"/>
              <w:rPr>
                <w:rFonts w:ascii="宋体" w:hAnsi="宋体" w:cs="宋体"/>
                <w:kern w:val="0"/>
                <w:sz w:val="24"/>
              </w:rPr>
            </w:pPr>
            <w:r>
              <w:rPr>
                <w:rFonts w:ascii="宋体" w:hAnsi="宋体" w:cs="宋体"/>
                <w:kern w:val="0"/>
                <w:sz w:val="24"/>
              </w:rPr>
              <w:t>6</w:t>
            </w:r>
          </w:p>
        </w:tc>
        <w:tc>
          <w:tcPr>
            <w:tcW w:w="1275"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2" w:type="dxa"/>
            <w:vMerge w:val="continue"/>
            <w:vAlign w:val="center"/>
          </w:tcPr>
          <w:p>
            <w:pPr>
              <w:widowControl/>
              <w:spacing w:line="360" w:lineRule="auto"/>
              <w:jc w:val="center"/>
              <w:rPr>
                <w:rFonts w:ascii="宋体" w:hAnsi="宋体" w:cs="宋体"/>
                <w:kern w:val="0"/>
                <w:sz w:val="24"/>
              </w:rPr>
            </w:pPr>
          </w:p>
        </w:tc>
        <w:tc>
          <w:tcPr>
            <w:tcW w:w="247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其他班、团委员</w:t>
            </w:r>
          </w:p>
        </w:tc>
        <w:tc>
          <w:tcPr>
            <w:tcW w:w="1276" w:type="dxa"/>
            <w:vAlign w:val="center"/>
          </w:tcPr>
          <w:p>
            <w:pPr>
              <w:widowControl/>
              <w:spacing w:line="360" w:lineRule="auto"/>
              <w:jc w:val="center"/>
              <w:rPr>
                <w:rFonts w:ascii="宋体" w:hAnsi="宋体" w:cs="宋体"/>
                <w:kern w:val="0"/>
                <w:sz w:val="24"/>
              </w:rPr>
            </w:pPr>
            <w:r>
              <w:rPr>
                <w:rFonts w:ascii="宋体" w:hAnsi="宋体" w:cs="宋体"/>
                <w:kern w:val="0"/>
                <w:sz w:val="24"/>
              </w:rPr>
              <w:t>4</w:t>
            </w:r>
          </w:p>
        </w:tc>
        <w:tc>
          <w:tcPr>
            <w:tcW w:w="1291" w:type="dxa"/>
            <w:vAlign w:val="center"/>
          </w:tcPr>
          <w:p>
            <w:pPr>
              <w:widowControl/>
              <w:spacing w:line="360" w:lineRule="auto"/>
              <w:jc w:val="center"/>
              <w:rPr>
                <w:rFonts w:ascii="宋体" w:hAnsi="宋体" w:cs="宋体"/>
                <w:kern w:val="0"/>
                <w:sz w:val="24"/>
              </w:rPr>
            </w:pPr>
            <w:r>
              <w:rPr>
                <w:rFonts w:ascii="宋体" w:hAnsi="宋体" w:cs="宋体"/>
                <w:kern w:val="0"/>
                <w:sz w:val="24"/>
              </w:rPr>
              <w:t>3</w:t>
            </w:r>
          </w:p>
        </w:tc>
        <w:tc>
          <w:tcPr>
            <w:tcW w:w="1275" w:type="dxa"/>
            <w:vAlign w:val="center"/>
          </w:tcPr>
          <w:p>
            <w:pPr>
              <w:widowControl/>
              <w:spacing w:line="360" w:lineRule="auto"/>
              <w:jc w:val="center"/>
              <w:rPr>
                <w:rFonts w:ascii="宋体" w:hAnsi="宋体" w:cs="宋体"/>
                <w:kern w:val="0"/>
                <w:sz w:val="24"/>
              </w:rPr>
            </w:pPr>
            <w:r>
              <w:rPr>
                <w:rFonts w:ascii="宋体" w:hAnsi="宋体" w:cs="宋体"/>
                <w:kern w:val="0"/>
                <w:sz w:val="24"/>
              </w:rPr>
              <w:t>1</w:t>
            </w:r>
          </w:p>
        </w:tc>
      </w:tr>
    </w:tbl>
    <w:p>
      <w:pPr>
        <w:widowControl/>
        <w:spacing w:line="360" w:lineRule="auto"/>
        <w:rPr>
          <w:rFonts w:ascii="宋体" w:hAnsi="宋体" w:cs="宋体"/>
          <w:kern w:val="0"/>
          <w:szCs w:val="21"/>
        </w:rPr>
      </w:pPr>
      <w:r>
        <w:rPr>
          <w:rFonts w:hint="eastAsia" w:ascii="宋体" w:hAnsi="宋体" w:cs="宋体"/>
          <w:kern w:val="0"/>
          <w:szCs w:val="21"/>
        </w:rPr>
        <w:t>注：（1）考核由各单位部门或学生组织的指导老师负责，考核标准由各单位根据自身工作情况自行拟定，但最终考核结果优秀不超过本单位参评人数的30%，良好不超过本单位参评人数的50%，以上两项非整数部分四舍五入；合格无比例限制，经考核为不合格者，此项不计分。学生职业发展中心主任按照兼职辅导员计分，其他成员按照校、院其他学生组织骨干计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（2）在不同组织任职的，其合计加分不超过20分。</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（3）本细则中没有列举到的学生干部，可以向评审委员会提出申请，并提供相关的材料，由评审委员会根据实际情况酌情加分。</w:t>
      </w:r>
    </w:p>
    <w:p>
      <w:pPr>
        <w:widowControl/>
        <w:spacing w:line="360" w:lineRule="auto"/>
        <w:ind w:firstLine="482" w:firstLineChars="200"/>
        <w:rPr>
          <w:rFonts w:ascii="宋体" w:hAnsi="宋体" w:cs="宋体"/>
          <w:b/>
          <w:kern w:val="0"/>
          <w:szCs w:val="21"/>
        </w:rPr>
      </w:pPr>
      <w:r>
        <w:rPr>
          <w:rFonts w:hint="eastAsia" w:ascii="宋体" w:hAnsi="宋体" w:cs="宋体"/>
          <w:b/>
          <w:kern w:val="0"/>
          <w:sz w:val="24"/>
        </w:rPr>
        <w:t>（三）</w:t>
      </w:r>
      <w:r>
        <w:rPr>
          <w:b/>
          <w:kern w:val="0"/>
          <w:sz w:val="14"/>
          <w:szCs w:val="14"/>
        </w:rPr>
        <w:t xml:space="preserve"> </w:t>
      </w:r>
      <w:r>
        <w:rPr>
          <w:rFonts w:ascii="宋体" w:hAnsi="宋体" w:cs="宋体"/>
          <w:b/>
          <w:kern w:val="0"/>
          <w:sz w:val="24"/>
        </w:rPr>
        <w:t>文体</w:t>
      </w:r>
      <w:r>
        <w:rPr>
          <w:rFonts w:hint="eastAsia" w:ascii="宋体" w:hAnsi="宋体" w:cs="宋体"/>
          <w:b/>
          <w:kern w:val="0"/>
          <w:sz w:val="24"/>
        </w:rPr>
        <w:t>项目</w:t>
      </w:r>
      <w:r>
        <w:rPr>
          <w:rFonts w:ascii="宋体" w:hAnsi="宋体" w:cs="宋体"/>
          <w:b/>
          <w:kern w:val="0"/>
          <w:sz w:val="24"/>
        </w:rPr>
        <w:t>计分</w:t>
      </w:r>
    </w:p>
    <w:tbl>
      <w:tblPr>
        <w:tblStyle w:val="10"/>
        <w:tblW w:w="8412" w:type="dxa"/>
        <w:tblInd w:w="108" w:type="dxa"/>
        <w:tblLayout w:type="fixed"/>
        <w:tblCellMar>
          <w:top w:w="0" w:type="dxa"/>
          <w:left w:w="0" w:type="dxa"/>
          <w:bottom w:w="0" w:type="dxa"/>
          <w:right w:w="0" w:type="dxa"/>
        </w:tblCellMar>
      </w:tblPr>
      <w:tblGrid>
        <w:gridCol w:w="744"/>
        <w:gridCol w:w="1056"/>
        <w:gridCol w:w="648"/>
        <w:gridCol w:w="852"/>
        <w:gridCol w:w="852"/>
        <w:gridCol w:w="852"/>
        <w:gridCol w:w="852"/>
        <w:gridCol w:w="852"/>
        <w:gridCol w:w="852"/>
        <w:gridCol w:w="852"/>
      </w:tblGrid>
      <w:tr>
        <w:tblPrEx>
          <w:tblLayout w:type="fixed"/>
          <w:tblCellMar>
            <w:top w:w="0" w:type="dxa"/>
            <w:left w:w="0" w:type="dxa"/>
            <w:bottom w:w="0" w:type="dxa"/>
            <w:right w:w="0" w:type="dxa"/>
          </w:tblCellMar>
        </w:tblPrEx>
        <w:tc>
          <w:tcPr>
            <w:tcW w:w="744"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级别</w:t>
            </w:r>
          </w:p>
        </w:tc>
        <w:tc>
          <w:tcPr>
            <w:tcW w:w="1056"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破纪录</w:t>
            </w:r>
          </w:p>
        </w:tc>
        <w:tc>
          <w:tcPr>
            <w:tcW w:w="64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一</w:t>
            </w:r>
          </w:p>
        </w:tc>
        <w:tc>
          <w:tcPr>
            <w:tcW w:w="85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二</w:t>
            </w:r>
          </w:p>
        </w:tc>
        <w:tc>
          <w:tcPr>
            <w:tcW w:w="85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三</w:t>
            </w:r>
          </w:p>
        </w:tc>
        <w:tc>
          <w:tcPr>
            <w:tcW w:w="85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四</w:t>
            </w:r>
          </w:p>
        </w:tc>
        <w:tc>
          <w:tcPr>
            <w:tcW w:w="85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五</w:t>
            </w:r>
          </w:p>
        </w:tc>
        <w:tc>
          <w:tcPr>
            <w:tcW w:w="85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六</w:t>
            </w:r>
          </w:p>
        </w:tc>
        <w:tc>
          <w:tcPr>
            <w:tcW w:w="85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七</w:t>
            </w:r>
          </w:p>
        </w:tc>
        <w:tc>
          <w:tcPr>
            <w:tcW w:w="852"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八</w:t>
            </w:r>
          </w:p>
        </w:tc>
      </w:tr>
      <w:tr>
        <w:tblPrEx>
          <w:tblLayout w:type="fixed"/>
          <w:tblCellMar>
            <w:top w:w="0" w:type="dxa"/>
            <w:left w:w="0" w:type="dxa"/>
            <w:bottom w:w="0" w:type="dxa"/>
            <w:right w:w="0" w:type="dxa"/>
          </w:tblCellMar>
        </w:tblPrEx>
        <w:tc>
          <w:tcPr>
            <w:tcW w:w="744"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全国</w:t>
            </w:r>
          </w:p>
        </w:tc>
        <w:tc>
          <w:tcPr>
            <w:tcW w:w="1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20</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15</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85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0" w:type="dxa"/>
            <w:bottom w:w="0" w:type="dxa"/>
            <w:right w:w="0" w:type="dxa"/>
          </w:tblCellMar>
        </w:tblPrEx>
        <w:tc>
          <w:tcPr>
            <w:tcW w:w="744"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省级</w:t>
            </w:r>
          </w:p>
        </w:tc>
        <w:tc>
          <w:tcPr>
            <w:tcW w:w="1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15</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85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r>
      <w:tr>
        <w:tblPrEx>
          <w:tblLayout w:type="fixed"/>
          <w:tblCellMar>
            <w:top w:w="0" w:type="dxa"/>
            <w:left w:w="0" w:type="dxa"/>
            <w:bottom w:w="0" w:type="dxa"/>
            <w:right w:w="0" w:type="dxa"/>
          </w:tblCellMar>
        </w:tblPrEx>
        <w:tc>
          <w:tcPr>
            <w:tcW w:w="744"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校级</w:t>
            </w:r>
          </w:p>
        </w:tc>
        <w:tc>
          <w:tcPr>
            <w:tcW w:w="1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8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85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r>
      <w:tr>
        <w:tblPrEx>
          <w:tblLayout w:type="fixed"/>
          <w:tblCellMar>
            <w:top w:w="0" w:type="dxa"/>
            <w:left w:w="0" w:type="dxa"/>
            <w:bottom w:w="0" w:type="dxa"/>
            <w:right w:w="0" w:type="dxa"/>
          </w:tblCellMar>
        </w:tblPrEx>
        <w:tc>
          <w:tcPr>
            <w:tcW w:w="744"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院级</w:t>
            </w:r>
          </w:p>
        </w:tc>
        <w:tc>
          <w:tcPr>
            <w:tcW w:w="1056" w:type="dxa"/>
            <w:tcBorders>
              <w:top w:val="single" w:color="auto" w:sz="4" w:space="0"/>
              <w:left w:val="single" w:color="auto" w:sz="4" w:space="0"/>
              <w:bottom w:val="single" w:color="auto" w:sz="8" w:space="0"/>
              <w:right w:val="single" w:color="auto" w:sz="4" w:space="0"/>
              <w:tr2bl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p>
        </w:tc>
        <w:tc>
          <w:tcPr>
            <w:tcW w:w="648"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852"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852"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852"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0</w:t>
            </w:r>
          </w:p>
        </w:tc>
        <w:tc>
          <w:tcPr>
            <w:tcW w:w="852"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0</w:t>
            </w:r>
          </w:p>
        </w:tc>
        <w:tc>
          <w:tcPr>
            <w:tcW w:w="852"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0</w:t>
            </w:r>
          </w:p>
        </w:tc>
        <w:tc>
          <w:tcPr>
            <w:tcW w:w="852"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0</w:t>
            </w:r>
          </w:p>
        </w:tc>
        <w:tc>
          <w:tcPr>
            <w:tcW w:w="852"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0</w:t>
            </w:r>
          </w:p>
        </w:tc>
      </w:tr>
    </w:tbl>
    <w:p>
      <w:pPr>
        <w:widowControl/>
        <w:spacing w:line="360" w:lineRule="auto"/>
        <w:rPr>
          <w:rFonts w:ascii="宋体" w:hAnsi="宋体" w:cs="宋体"/>
          <w:kern w:val="0"/>
          <w:szCs w:val="21"/>
        </w:rPr>
      </w:pPr>
      <w:r>
        <w:rPr>
          <w:rFonts w:ascii="宋体" w:hAnsi="宋体" w:cs="宋体"/>
          <w:kern w:val="0"/>
          <w:szCs w:val="21"/>
        </w:rPr>
        <w:t>注：</w:t>
      </w:r>
      <w:r>
        <w:rPr>
          <w:rFonts w:hint="eastAsia" w:ascii="宋体" w:hAnsi="宋体" w:cs="宋体"/>
          <w:kern w:val="0"/>
          <w:szCs w:val="21"/>
        </w:rPr>
        <w:t>（1</w:t>
      </w:r>
      <w:r>
        <w:rPr>
          <w:rFonts w:ascii="宋体" w:hAnsi="宋体" w:cs="宋体"/>
          <w:kern w:val="0"/>
          <w:szCs w:val="21"/>
        </w:rPr>
        <w:t>）同一项目</w:t>
      </w:r>
      <w:r>
        <w:rPr>
          <w:rFonts w:hint="eastAsia" w:ascii="宋体" w:hAnsi="宋体" w:cs="宋体"/>
          <w:kern w:val="0"/>
          <w:szCs w:val="21"/>
        </w:rPr>
        <w:t>、</w:t>
      </w:r>
      <w:r>
        <w:rPr>
          <w:rFonts w:ascii="宋体" w:hAnsi="宋体" w:cs="宋体"/>
          <w:kern w:val="0"/>
          <w:szCs w:val="21"/>
        </w:rPr>
        <w:t>节目多次获奖，限加最高分；</w:t>
      </w:r>
    </w:p>
    <w:p>
      <w:pPr>
        <w:widowControl/>
        <w:spacing w:line="360" w:lineRule="auto"/>
        <w:ind w:firstLine="315" w:firstLineChars="15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（2</w:t>
      </w:r>
      <w:r>
        <w:rPr>
          <w:rFonts w:ascii="宋体" w:hAnsi="宋体" w:cs="宋体"/>
          <w:kern w:val="0"/>
          <w:szCs w:val="21"/>
        </w:rPr>
        <w:t>）集体项目参照上表规定在2分之内酌情计分</w:t>
      </w:r>
      <w:r>
        <w:rPr>
          <w:rFonts w:hint="eastAsia" w:ascii="宋体" w:hAnsi="宋体" w:cs="宋体"/>
          <w:kern w:val="0"/>
          <w:szCs w:val="21"/>
        </w:rPr>
        <w:t>；</w:t>
      </w:r>
    </w:p>
    <w:p>
      <w:pPr>
        <w:widowControl/>
        <w:spacing w:line="360" w:lineRule="auto"/>
        <w:ind w:firstLine="315" w:firstLineChars="15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本项</w:t>
      </w:r>
      <w:r>
        <w:rPr>
          <w:rFonts w:ascii="宋体" w:hAnsi="宋体" w:cs="宋体"/>
          <w:kern w:val="0"/>
          <w:szCs w:val="21"/>
        </w:rPr>
        <w:t>合计加分不超过</w:t>
      </w:r>
      <w:r>
        <w:rPr>
          <w:rFonts w:hint="eastAsia" w:ascii="宋体" w:hAnsi="宋体" w:cs="宋体"/>
          <w:kern w:val="0"/>
          <w:szCs w:val="21"/>
        </w:rPr>
        <w:t>20分</w:t>
      </w:r>
      <w:r>
        <w:rPr>
          <w:rFonts w:ascii="宋体" w:hAnsi="宋体" w:cs="宋体"/>
          <w:kern w:val="0"/>
          <w:szCs w:val="21"/>
        </w:rPr>
        <w:t>。</w:t>
      </w:r>
    </w:p>
    <w:p>
      <w:pPr>
        <w:widowControl/>
        <w:spacing w:line="360" w:lineRule="auto"/>
        <w:ind w:left="-61" w:leftChars="-29" w:firstLine="482" w:firstLineChars="200"/>
        <w:rPr>
          <w:rFonts w:ascii="宋体" w:hAnsi="宋体" w:cs="宋体"/>
          <w:b/>
          <w:bCs/>
          <w:kern w:val="0"/>
          <w:szCs w:val="21"/>
        </w:rPr>
      </w:pPr>
      <w:r>
        <w:rPr>
          <w:rFonts w:hint="eastAsia" w:ascii="宋体" w:hAnsi="宋体" w:cs="宋体"/>
          <w:b/>
          <w:bCs/>
          <w:kern w:val="0"/>
          <w:sz w:val="24"/>
        </w:rPr>
        <w:t>（四）</w:t>
      </w:r>
      <w:r>
        <w:rPr>
          <w:rFonts w:ascii="宋体" w:hAnsi="宋体" w:cs="宋体"/>
          <w:b/>
          <w:bCs/>
          <w:kern w:val="0"/>
          <w:sz w:val="24"/>
        </w:rPr>
        <w:t>通过司法考试</w:t>
      </w:r>
      <w:r>
        <w:rPr>
          <w:rFonts w:hint="eastAsia" w:ascii="宋体" w:hAnsi="宋体" w:cs="宋体"/>
          <w:b/>
          <w:bCs/>
          <w:kern w:val="0"/>
          <w:sz w:val="24"/>
        </w:rPr>
        <w:t>计分</w:t>
      </w:r>
      <w:r>
        <w:rPr>
          <w:rFonts w:ascii="宋体" w:hAnsi="宋体" w:cs="宋体"/>
          <w:b/>
          <w:bCs/>
          <w:kern w:val="0"/>
          <w:sz w:val="24"/>
        </w:rPr>
        <w:t>：</w:t>
      </w:r>
      <w:r>
        <w:rPr>
          <w:rFonts w:hint="eastAsia" w:ascii="宋体" w:hAnsi="宋体" w:cs="宋体"/>
          <w:b/>
          <w:bCs/>
          <w:kern w:val="0"/>
          <w:sz w:val="24"/>
        </w:rPr>
        <w:t>2</w:t>
      </w:r>
      <w:r>
        <w:rPr>
          <w:rFonts w:ascii="宋体" w:hAnsi="宋体" w:cs="宋体"/>
          <w:b/>
          <w:bCs/>
          <w:kern w:val="0"/>
          <w:sz w:val="24"/>
        </w:rPr>
        <w:t>0分</w:t>
      </w:r>
      <w:r>
        <w:rPr>
          <w:rFonts w:hint="eastAsia" w:ascii="宋体" w:hAnsi="宋体" w:cs="宋体"/>
          <w:b/>
          <w:bCs/>
          <w:kern w:val="0"/>
          <w:sz w:val="24"/>
        </w:rPr>
        <w:t>（只限加一次）</w:t>
      </w:r>
      <w:r>
        <w:rPr>
          <w:rFonts w:ascii="宋体" w:hAnsi="宋体" w:cs="宋体"/>
          <w:b/>
          <w:bCs/>
          <w:kern w:val="0"/>
          <w:sz w:val="24"/>
        </w:rPr>
        <w:t>。</w:t>
      </w:r>
    </w:p>
    <w:p>
      <w:pPr>
        <w:widowControl/>
        <w:spacing w:line="360" w:lineRule="auto"/>
        <w:ind w:left="-61" w:leftChars="-29" w:firstLine="482" w:firstLineChars="200"/>
        <w:rPr>
          <w:rFonts w:ascii="宋体" w:hAnsi="宋体" w:cs="宋体"/>
          <w:b/>
          <w:bCs/>
          <w:kern w:val="0"/>
          <w:szCs w:val="21"/>
        </w:rPr>
      </w:pPr>
      <w:r>
        <w:rPr>
          <w:rFonts w:hint="eastAsia" w:ascii="宋体" w:hAnsi="宋体" w:cs="宋体"/>
          <w:b/>
          <w:bCs/>
          <w:kern w:val="0"/>
          <w:sz w:val="24"/>
        </w:rPr>
        <w:t>（五）</w:t>
      </w:r>
      <w:r>
        <w:rPr>
          <w:rFonts w:ascii="宋体" w:hAnsi="宋体" w:cs="宋体"/>
          <w:b/>
          <w:bCs/>
          <w:kern w:val="0"/>
          <w:sz w:val="24"/>
        </w:rPr>
        <w:t>其他情况</w:t>
      </w:r>
    </w:p>
    <w:p>
      <w:pPr>
        <w:widowControl/>
        <w:spacing w:line="360" w:lineRule="auto"/>
        <w:ind w:firstLine="480" w:firstLineChars="200"/>
        <w:rPr>
          <w:rFonts w:ascii="宋体" w:hAnsi="宋体" w:cs="宋体"/>
          <w:kern w:val="0"/>
          <w:szCs w:val="21"/>
        </w:rPr>
      </w:pPr>
      <w:r>
        <w:rPr>
          <w:rFonts w:ascii="宋体" w:hAnsi="宋体" w:cs="宋体"/>
          <w:kern w:val="0"/>
          <w:sz w:val="24"/>
        </w:rPr>
        <w:t>其他需要计分的项目，由研究生本人提出申请，由学院参照上述规定酌情计分。</w:t>
      </w:r>
    </w:p>
    <w:p>
      <w:pPr>
        <w:widowControl/>
        <w:spacing w:line="360" w:lineRule="auto"/>
        <w:jc w:val="center"/>
        <w:rPr>
          <w:rFonts w:ascii="宋体" w:hAnsi="宋体" w:cs="宋体"/>
          <w:b/>
          <w:bCs/>
          <w:kern w:val="0"/>
          <w:sz w:val="24"/>
        </w:rPr>
      </w:pPr>
    </w:p>
    <w:p>
      <w:pPr>
        <w:widowControl/>
        <w:spacing w:line="360" w:lineRule="auto"/>
        <w:jc w:val="center"/>
        <w:rPr>
          <w:rFonts w:ascii="宋体" w:hAnsi="宋体" w:cs="宋体"/>
          <w:kern w:val="0"/>
          <w:szCs w:val="21"/>
        </w:rPr>
      </w:pPr>
      <w:r>
        <w:rPr>
          <w:rFonts w:hint="eastAsia" w:ascii="宋体" w:hAnsi="宋体" w:cs="宋体"/>
          <w:b/>
          <w:bCs/>
          <w:kern w:val="0"/>
          <w:sz w:val="24"/>
        </w:rPr>
        <w:t>附则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本细则，自公布之日起实施。</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本细则中有关科研量分标准的认定，仅适用于校级及</w:t>
      </w:r>
      <w:r>
        <w:rPr>
          <w:rFonts w:ascii="宋体" w:hAnsi="宋体" w:cs="宋体"/>
          <w:kern w:val="0"/>
          <w:sz w:val="24"/>
        </w:rPr>
        <w:t>以上级别</w:t>
      </w:r>
      <w:r>
        <w:rPr>
          <w:rFonts w:hint="eastAsia" w:ascii="宋体" w:hAnsi="宋体" w:cs="宋体"/>
          <w:kern w:val="0"/>
          <w:sz w:val="24"/>
        </w:rPr>
        <w:t>奖学金</w:t>
      </w:r>
      <w:r>
        <w:rPr>
          <w:rFonts w:ascii="宋体" w:hAnsi="宋体" w:cs="宋体"/>
          <w:kern w:val="0"/>
          <w:sz w:val="24"/>
        </w:rPr>
        <w:t>及荣誉称号</w:t>
      </w:r>
      <w:r>
        <w:rPr>
          <w:rFonts w:hint="eastAsia" w:ascii="宋体" w:hAnsi="宋体" w:cs="宋体"/>
          <w:kern w:val="0"/>
          <w:sz w:val="24"/>
        </w:rPr>
        <w:t>的评定，不用于其他事项。</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本细则的解释权，由学院党政联席会行使。</w:t>
      </w:r>
    </w:p>
    <w:p>
      <w:pPr>
        <w:widowControl/>
        <w:spacing w:line="360" w:lineRule="auto"/>
        <w:rPr>
          <w:rFonts w:ascii="宋体" w:hAnsi="宋体" w:cs="宋体"/>
          <w:kern w:val="0"/>
          <w:sz w:val="24"/>
        </w:rPr>
      </w:pPr>
    </w:p>
    <w:p>
      <w:pPr>
        <w:widowControl/>
        <w:spacing w:line="360" w:lineRule="auto"/>
        <w:jc w:val="right"/>
        <w:rPr>
          <w:rFonts w:ascii="宋体" w:hAnsi="宋体" w:cs="宋体"/>
          <w:kern w:val="0"/>
          <w:sz w:val="24"/>
        </w:rPr>
      </w:pPr>
      <w:r>
        <w:rPr>
          <w:rFonts w:ascii="宋体" w:hAnsi="宋体" w:cs="宋体"/>
          <w:kern w:val="0"/>
          <w:sz w:val="24"/>
        </w:rPr>
        <w:t>浙江大学光华法学院</w:t>
      </w:r>
    </w:p>
    <w:p>
      <w:pPr>
        <w:widowControl/>
        <w:spacing w:line="360" w:lineRule="auto"/>
        <w:jc w:val="right"/>
        <w:rPr>
          <w:rFonts w:ascii="宋体" w:hAnsi="宋体" w:cs="宋体"/>
          <w:kern w:val="0"/>
          <w:sz w:val="24"/>
        </w:rPr>
      </w:pPr>
      <w:r>
        <w:rPr>
          <w:rFonts w:ascii="宋体" w:hAnsi="宋体" w:cs="宋体"/>
          <w:kern w:val="0"/>
          <w:sz w:val="24"/>
        </w:rPr>
        <w:t>20</w:t>
      </w:r>
      <w:r>
        <w:rPr>
          <w:rFonts w:hint="eastAsia" w:ascii="宋体" w:hAnsi="宋体" w:cs="宋体"/>
          <w:kern w:val="0"/>
          <w:sz w:val="24"/>
        </w:rPr>
        <w:t>1</w:t>
      </w:r>
      <w:r>
        <w:rPr>
          <w:rFonts w:ascii="宋体" w:hAnsi="宋体" w:cs="宋体"/>
          <w:kern w:val="0"/>
          <w:sz w:val="24"/>
        </w:rPr>
        <w:t>7年10月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swiss"/>
    <w:pitch w:val="default"/>
    <w:sig w:usb0="E0002EFF" w:usb1="C0007843" w:usb2="00000009" w:usb3="00000000" w:csb0="400001FF" w:csb1="FFFF0000"/>
  </w:font>
  <w:font w:name="叶根友毛笔行书2.0版">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icomoon">
    <w:panose1 w:val="00000000000000000000"/>
    <w:charset w:val="00"/>
    <w:family w:val="auto"/>
    <w:pitch w:val="default"/>
    <w:sig w:usb0="00000001" w:usb1="1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Javanese Text">
    <w:panose1 w:val="02000000000000000000"/>
    <w:charset w:val="00"/>
    <w:family w:val="auto"/>
    <w:pitch w:val="default"/>
    <w:sig w:usb0="80000003" w:usb1="00002000" w:usb2="00000000" w:usb3="00000000" w:csb0="00000001" w:csb1="00000000"/>
  </w:font>
  <w:font w:name="Leelawadee UI">
    <w:panose1 w:val="020B0502040204020203"/>
    <w:charset w:val="00"/>
    <w:family w:val="auto"/>
    <w:pitch w:val="default"/>
    <w:sig w:usb0="83000003" w:usb1="00000000" w:usb2="00010000" w:usb3="00000001" w:csb0="00010101" w:csb1="00000000"/>
  </w:font>
  <w:font w:name="Lucida Bright">
    <w:panose1 w:val="02040603070505020404"/>
    <w:charset w:val="00"/>
    <w:family w:val="auto"/>
    <w:pitch w:val="default"/>
    <w:sig w:usb0="00002287" w:usb1="00000060" w:usb2="00000008" w:usb3="00000000" w:csb0="20000093" w:csb1="00000000"/>
  </w:font>
  <w:font w:name="Lucida Sans">
    <w:panose1 w:val="020B0602040502020204"/>
    <w:charset w:val="00"/>
    <w:family w:val="auto"/>
    <w:pitch w:val="default"/>
    <w:sig w:usb0="8100AAF7" w:usb1="0000807B" w:usb2="00000008" w:usb3="00000000" w:csb0="6000009F" w:csb1="FFFF0000"/>
  </w:font>
  <w:font w:name="Lucida Sans Typewriter">
    <w:panose1 w:val="020B0602040502020304"/>
    <w:charset w:val="00"/>
    <w:family w:val="auto"/>
    <w:pitch w:val="default"/>
    <w:sig w:usb0="01007B87" w:usb1="00000000" w:usb2="00000008" w:usb3="00000000" w:csb0="2001007F" w:csb1="0000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Myanmar Text">
    <w:panose1 w:val="020B0502040204020203"/>
    <w:charset w:val="00"/>
    <w:family w:val="auto"/>
    <w:pitch w:val="default"/>
    <w:sig w:usb0="80000003" w:usb1="00000000" w:usb2="00000400" w:usb3="00000000" w:csb0="00000001" w:csb1="00000000"/>
  </w:font>
  <w:font w:name="Sitka Subheading">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C5E1F"/>
    <w:multiLevelType w:val="singleLevel"/>
    <w:tmpl w:val="592C5E1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0B"/>
    <w:rsid w:val="002D6F0B"/>
    <w:rsid w:val="003A1D8F"/>
    <w:rsid w:val="00514BA2"/>
    <w:rsid w:val="00546053"/>
    <w:rsid w:val="00657CF2"/>
    <w:rsid w:val="008D26CF"/>
    <w:rsid w:val="00AE7123"/>
    <w:rsid w:val="00C80A61"/>
    <w:rsid w:val="00CB4B7D"/>
    <w:rsid w:val="00E0695D"/>
    <w:rsid w:val="00F85C58"/>
    <w:rsid w:val="0A637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rFonts w:ascii="Times New Roman" w:hAnsi="Times New Roman" w:eastAsia="宋体" w:cs="Times New Roman"/>
      <w:b/>
      <w:bCs/>
    </w:rPr>
  </w:style>
  <w:style w:type="paragraph" w:styleId="3">
    <w:name w:val="annotation text"/>
    <w:basedOn w:val="1"/>
    <w:link w:val="13"/>
    <w:qFormat/>
    <w:uiPriority w:val="0"/>
    <w:pPr>
      <w:jc w:val="left"/>
    </w:pPr>
    <w:rPr>
      <w:rFonts w:asciiTheme="minorHAnsi" w:hAnsiTheme="minorHAnsi" w:eastAsiaTheme="minorEastAsia" w:cstheme="minorBidi"/>
    </w:r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annotation reference"/>
    <w:qFormat/>
    <w:uiPriority w:val="99"/>
    <w:rPr>
      <w:sz w:val="21"/>
      <w:szCs w:val="21"/>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批注文字 Char1"/>
    <w:link w:val="3"/>
    <w:qFormat/>
    <w:uiPriority w:val="0"/>
    <w:rPr>
      <w:szCs w:val="24"/>
    </w:rPr>
  </w:style>
  <w:style w:type="character" w:customStyle="1" w:styleId="14">
    <w:name w:val="批注文字 Char"/>
    <w:basedOn w:val="8"/>
    <w:semiHidden/>
    <w:qFormat/>
    <w:uiPriority w:val="99"/>
    <w:rPr>
      <w:rFonts w:ascii="Times New Roman" w:hAnsi="Times New Roman" w:eastAsia="宋体" w:cs="Times New Roman"/>
      <w:szCs w:val="24"/>
    </w:rPr>
  </w:style>
  <w:style w:type="character" w:customStyle="1" w:styleId="15">
    <w:name w:val="批注框文本 Char"/>
    <w:basedOn w:val="8"/>
    <w:link w:val="4"/>
    <w:semiHidden/>
    <w:qFormat/>
    <w:uiPriority w:val="99"/>
    <w:rPr>
      <w:rFonts w:ascii="Times New Roman" w:hAnsi="Times New Roman" w:eastAsia="宋体" w:cs="Times New Roman"/>
      <w:sz w:val="18"/>
      <w:szCs w:val="18"/>
    </w:rPr>
  </w:style>
  <w:style w:type="character" w:customStyle="1" w:styleId="16">
    <w:name w:val="批注主题 Char"/>
    <w:basedOn w:val="13"/>
    <w:link w:val="2"/>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886</Words>
  <Characters>5053</Characters>
  <Lines>42</Lines>
  <Paragraphs>11</Paragraphs>
  <TotalTime>0</TotalTime>
  <ScaleCrop>false</ScaleCrop>
  <LinksUpToDate>false</LinksUpToDate>
  <CharactersWithSpaces>5928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2017-10-11T02:29:00Z</dcterms:created>
  <dc:creator>Sky123.Org</dc:creator>
  <cp:lastModifiedBy>mly</cp:lastModifiedBy>
  <cp:lastPrinted>2017-08-01T23:05:00Z</cp:lastPrinted>
  <dcterms:modified xsi:type="dcterms:W3CDTF">2017-10-11T14:29:50Z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