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940"/>
        <w:gridCol w:w="1482"/>
        <w:gridCol w:w="3076"/>
        <w:gridCol w:w="2610"/>
        <w:gridCol w:w="1899"/>
      </w:tblGrid>
      <w:tr w14:paraId="21B2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15" w:type="dxa"/>
            <w:noWrap w:val="0"/>
            <w:vAlign w:val="top"/>
          </w:tcPr>
          <w:p w14:paraId="6A38E7D2">
            <w:pPr>
              <w:jc w:val="center"/>
              <w:rPr>
                <w:b/>
                <w:sz w:val="24"/>
                <w:szCs w:val="24"/>
                <w:highlight w:val="none"/>
              </w:rPr>
            </w:pPr>
            <w:r>
              <w:rPr>
                <w:b/>
                <w:sz w:val="24"/>
                <w:szCs w:val="24"/>
                <w:highlight w:val="none"/>
              </w:rPr>
              <w:t>序号</w:t>
            </w:r>
          </w:p>
        </w:tc>
        <w:tc>
          <w:tcPr>
            <w:tcW w:w="2940" w:type="dxa"/>
            <w:noWrap w:val="0"/>
            <w:vAlign w:val="top"/>
          </w:tcPr>
          <w:p w14:paraId="49876429">
            <w:pPr>
              <w:jc w:val="center"/>
              <w:rPr>
                <w:b/>
                <w:sz w:val="24"/>
                <w:szCs w:val="24"/>
                <w:highlight w:val="none"/>
              </w:rPr>
            </w:pPr>
            <w:r>
              <w:rPr>
                <w:b/>
                <w:sz w:val="24"/>
                <w:szCs w:val="24"/>
                <w:highlight w:val="none"/>
              </w:rPr>
              <w:t>项目名称</w:t>
            </w:r>
          </w:p>
        </w:tc>
        <w:tc>
          <w:tcPr>
            <w:tcW w:w="1482" w:type="dxa"/>
            <w:noWrap w:val="0"/>
            <w:vAlign w:val="top"/>
          </w:tcPr>
          <w:p w14:paraId="72FDC7F8">
            <w:pPr>
              <w:jc w:val="center"/>
              <w:rPr>
                <w:b/>
                <w:sz w:val="24"/>
                <w:szCs w:val="24"/>
                <w:highlight w:val="none"/>
              </w:rPr>
            </w:pPr>
            <w:r>
              <w:rPr>
                <w:b/>
                <w:sz w:val="24"/>
                <w:szCs w:val="24"/>
                <w:highlight w:val="none"/>
              </w:rPr>
              <w:t>项目时间</w:t>
            </w:r>
          </w:p>
        </w:tc>
        <w:tc>
          <w:tcPr>
            <w:tcW w:w="3076" w:type="dxa"/>
            <w:noWrap w:val="0"/>
            <w:vAlign w:val="top"/>
          </w:tcPr>
          <w:p w14:paraId="3784988D">
            <w:pPr>
              <w:ind w:firstLine="236" w:firstLineChars="98"/>
              <w:jc w:val="center"/>
              <w:rPr>
                <w:b/>
                <w:sz w:val="24"/>
                <w:szCs w:val="24"/>
                <w:highlight w:val="none"/>
              </w:rPr>
            </w:pPr>
            <w:r>
              <w:rPr>
                <w:b/>
                <w:sz w:val="24"/>
                <w:szCs w:val="24"/>
                <w:highlight w:val="none"/>
              </w:rPr>
              <w:t>项目要求</w:t>
            </w:r>
          </w:p>
        </w:tc>
        <w:tc>
          <w:tcPr>
            <w:tcW w:w="2610" w:type="dxa"/>
            <w:noWrap w:val="0"/>
            <w:vAlign w:val="top"/>
          </w:tcPr>
          <w:p w14:paraId="1FC62434">
            <w:pPr>
              <w:jc w:val="center"/>
              <w:rPr>
                <w:b/>
                <w:sz w:val="24"/>
                <w:szCs w:val="24"/>
                <w:highlight w:val="none"/>
              </w:rPr>
            </w:pPr>
            <w:r>
              <w:rPr>
                <w:b/>
                <w:sz w:val="24"/>
                <w:szCs w:val="24"/>
                <w:highlight w:val="none"/>
              </w:rPr>
              <w:t>项目费用</w:t>
            </w:r>
          </w:p>
        </w:tc>
        <w:tc>
          <w:tcPr>
            <w:tcW w:w="1899" w:type="dxa"/>
            <w:noWrap w:val="0"/>
            <w:vAlign w:val="top"/>
          </w:tcPr>
          <w:p w14:paraId="5DF96500">
            <w:pPr>
              <w:jc w:val="center"/>
              <w:rPr>
                <w:b/>
                <w:sz w:val="24"/>
                <w:szCs w:val="24"/>
                <w:highlight w:val="none"/>
              </w:rPr>
            </w:pPr>
            <w:r>
              <w:rPr>
                <w:b/>
                <w:sz w:val="24"/>
                <w:szCs w:val="24"/>
                <w:highlight w:val="none"/>
              </w:rPr>
              <w:t>特别备注</w:t>
            </w:r>
          </w:p>
        </w:tc>
      </w:tr>
      <w:tr w14:paraId="2655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tcBorders>
              <w:top w:val="single" w:color="auto" w:sz="4" w:space="0"/>
              <w:left w:val="single" w:color="auto" w:sz="4" w:space="0"/>
              <w:bottom w:val="single" w:color="auto" w:sz="4" w:space="0"/>
              <w:right w:val="single" w:color="auto" w:sz="4" w:space="0"/>
              <w:tl2br w:val="nil"/>
              <w:tr2bl w:val="nil"/>
            </w:tcBorders>
            <w:noWrap w:val="0"/>
            <w:vAlign w:val="top"/>
          </w:tcPr>
          <w:p w14:paraId="2D4C942C">
            <w:pPr>
              <w:spacing w:beforeLines="0" w:afterLines="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1</w:t>
            </w: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top"/>
          </w:tcPr>
          <w:p w14:paraId="2FD716EA">
            <w:pPr>
              <w:spacing w:beforeLines="0" w:afterLines="0"/>
              <w:rPr>
                <w:rFonts w:hint="default" w:ascii="Times New Roman" w:hAnsi="Times New Roman" w:eastAsia="宋体"/>
                <w:sz w:val="24"/>
                <w:szCs w:val="24"/>
                <w:highlight w:val="none"/>
              </w:rPr>
            </w:pPr>
            <w:r>
              <w:rPr>
                <w:rFonts w:hint="eastAsia" w:ascii="Times New Roman" w:hAnsi="Times New Roman" w:eastAsia="宋体"/>
                <w:sz w:val="24"/>
                <w:szCs w:val="24"/>
                <w:highlight w:val="none"/>
              </w:rPr>
              <w:t>圣路易斯华盛顿大学法学院1+1/2+1/3+1/3+2</w:t>
            </w:r>
            <w:r>
              <w:rPr>
                <w:rFonts w:hint="eastAsia"/>
                <w:sz w:val="24"/>
                <w:szCs w:val="24"/>
                <w:highlight w:val="none"/>
                <w:lang w:val="en-US" w:eastAsia="zh-CN"/>
              </w:rPr>
              <w:t>/4+1</w:t>
            </w:r>
            <w:r>
              <w:rPr>
                <w:rFonts w:hint="eastAsia" w:ascii="Times New Roman" w:hAnsi="Times New Roman" w:eastAsia="宋体"/>
                <w:sz w:val="24"/>
                <w:szCs w:val="24"/>
                <w:highlight w:val="none"/>
              </w:rPr>
              <w:t>学位项目</w:t>
            </w: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top"/>
          </w:tcPr>
          <w:p w14:paraId="340D8D68">
            <w:pPr>
              <w:pStyle w:val="6"/>
              <w:widowControl/>
              <w:spacing w:beforeLines="0" w:after="0" w:afterLines="0" w:line="21" w:lineRule="atLeast"/>
              <w:rPr>
                <w:rFonts w:hint="default" w:ascii="Times New Roman" w:hAnsi="Times New Roman" w:eastAsia="宋体"/>
                <w:sz w:val="24"/>
                <w:szCs w:val="24"/>
                <w:highlight w:val="none"/>
              </w:rPr>
            </w:pPr>
            <w:r>
              <w:rPr>
                <w:rFonts w:hint="eastAsia" w:eastAsia="宋体"/>
                <w:color w:val="auto"/>
                <w:sz w:val="24"/>
                <w:szCs w:val="24"/>
                <w:highlight w:val="none"/>
              </w:rPr>
              <w:t>秋季</w:t>
            </w:r>
            <w:r>
              <w:rPr>
                <w:rFonts w:hint="eastAsia" w:eastAsia="宋体"/>
                <w:sz w:val="24"/>
                <w:szCs w:val="24"/>
                <w:highlight w:val="none"/>
                <w:lang w:val="en-US" w:eastAsia="zh-CN"/>
              </w:rPr>
              <w:t>或春季</w:t>
            </w:r>
            <w:r>
              <w:rPr>
                <w:rFonts w:hint="eastAsia" w:eastAsia="宋体"/>
                <w:sz w:val="24"/>
                <w:szCs w:val="24"/>
                <w:highlight w:val="none"/>
              </w:rPr>
              <w:t>入学</w:t>
            </w:r>
          </w:p>
        </w:tc>
        <w:tc>
          <w:tcPr>
            <w:tcW w:w="3076" w:type="dxa"/>
            <w:tcBorders>
              <w:top w:val="single" w:color="auto" w:sz="4" w:space="0"/>
              <w:left w:val="single" w:color="auto" w:sz="4" w:space="0"/>
              <w:bottom w:val="single" w:color="auto" w:sz="4" w:space="0"/>
              <w:right w:val="single" w:color="auto" w:sz="4" w:space="0"/>
              <w:tl2br w:val="nil"/>
              <w:tr2bl w:val="nil"/>
            </w:tcBorders>
            <w:noWrap w:val="0"/>
            <w:vAlign w:val="top"/>
          </w:tcPr>
          <w:p w14:paraId="1DF5674E">
            <w:pPr>
              <w:numPr>
                <w:ilvl w:val="0"/>
                <w:numId w:val="1"/>
              </w:numPr>
              <w:spacing w:beforeLines="0" w:afterLines="0"/>
              <w:rPr>
                <w:rFonts w:hint="default"/>
                <w:sz w:val="24"/>
                <w:szCs w:val="24"/>
                <w:highlight w:val="none"/>
              </w:rPr>
            </w:pPr>
            <w:r>
              <w:rPr>
                <w:rFonts w:hint="eastAsia"/>
                <w:sz w:val="24"/>
                <w:szCs w:val="24"/>
                <w:highlight w:val="none"/>
                <w:lang w:val="en-US" w:eastAsia="zh-CN"/>
              </w:rPr>
              <w:t>本科</w:t>
            </w:r>
            <w:r>
              <w:rPr>
                <w:rFonts w:hint="eastAsia" w:ascii="宋体" w:hAnsi="宋体" w:eastAsia="宋体" w:cs="宋体"/>
                <w:kern w:val="0"/>
                <w:sz w:val="24"/>
                <w:szCs w:val="24"/>
                <w:highlight w:val="none"/>
              </w:rPr>
              <w:t>大二</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大三、大四学生</w:t>
            </w:r>
            <w:r>
              <w:rPr>
                <w:rFonts w:hint="eastAsia" w:ascii="宋体" w:hAnsi="宋体" w:eastAsia="宋体" w:cs="宋体"/>
                <w:kern w:val="0"/>
                <w:sz w:val="24"/>
                <w:szCs w:val="24"/>
                <w:highlight w:val="none"/>
              </w:rPr>
              <w:t>、研究生（非毕业班）</w:t>
            </w:r>
          </w:p>
          <w:p w14:paraId="1C51DB2D">
            <w:pPr>
              <w:pStyle w:val="6"/>
              <w:widowControl/>
              <w:numPr>
                <w:ilvl w:val="0"/>
                <w:numId w:val="1"/>
              </w:numPr>
              <w:tabs>
                <w:tab w:val="clear" w:pos="312"/>
              </w:tabs>
              <w:spacing w:beforeLines="0" w:after="0" w:afterLines="0" w:line="21" w:lineRule="atLeast"/>
              <w:rPr>
                <w:rFonts w:hint="default"/>
                <w:sz w:val="24"/>
                <w:szCs w:val="24"/>
                <w:highlight w:val="none"/>
              </w:rPr>
            </w:pPr>
            <w:r>
              <w:rPr>
                <w:rFonts w:hint="eastAsia" w:eastAsia="宋体"/>
                <w:sz w:val="24"/>
                <w:szCs w:val="24"/>
                <w:highlight w:val="none"/>
              </w:rPr>
              <w:t>托福</w:t>
            </w:r>
            <w:r>
              <w:rPr>
                <w:rFonts w:hint="default"/>
                <w:sz w:val="24"/>
                <w:szCs w:val="24"/>
                <w:highlight w:val="none"/>
              </w:rPr>
              <w:t>90</w:t>
            </w:r>
            <w:r>
              <w:rPr>
                <w:rFonts w:hint="eastAsia" w:eastAsia="宋体"/>
                <w:sz w:val="24"/>
                <w:szCs w:val="24"/>
                <w:highlight w:val="none"/>
              </w:rPr>
              <w:t>及以上或雅思</w:t>
            </w:r>
            <w:r>
              <w:rPr>
                <w:rFonts w:hint="default"/>
                <w:sz w:val="24"/>
                <w:szCs w:val="24"/>
                <w:highlight w:val="none"/>
              </w:rPr>
              <w:t>6.5</w:t>
            </w:r>
            <w:r>
              <w:rPr>
                <w:rFonts w:hint="eastAsia" w:eastAsia="宋体"/>
                <w:sz w:val="24"/>
                <w:szCs w:val="24"/>
                <w:highlight w:val="none"/>
              </w:rPr>
              <w:t>及以上</w:t>
            </w:r>
          </w:p>
          <w:p w14:paraId="749AC370">
            <w:pPr>
              <w:pStyle w:val="6"/>
              <w:widowControl/>
              <w:numPr>
                <w:ilvl w:val="0"/>
                <w:numId w:val="1"/>
              </w:numPr>
              <w:spacing w:beforeLines="0" w:after="0" w:afterLines="0" w:line="21" w:lineRule="atLeast"/>
              <w:rPr>
                <w:rFonts w:hint="default"/>
                <w:sz w:val="24"/>
                <w:szCs w:val="24"/>
                <w:highlight w:val="none"/>
              </w:rPr>
            </w:pPr>
            <w:r>
              <w:rPr>
                <w:rFonts w:hint="eastAsia" w:eastAsia="宋体"/>
                <w:sz w:val="24"/>
                <w:szCs w:val="24"/>
                <w:highlight w:val="none"/>
              </w:rPr>
              <w:t>学习成绩优良</w:t>
            </w:r>
          </w:p>
        </w:tc>
        <w:tc>
          <w:tcPr>
            <w:tcW w:w="2610" w:type="dxa"/>
            <w:tcBorders>
              <w:top w:val="single" w:color="auto" w:sz="4" w:space="0"/>
              <w:left w:val="single" w:color="auto" w:sz="4" w:space="0"/>
              <w:bottom w:val="single" w:color="auto" w:sz="4" w:space="0"/>
              <w:right w:val="single" w:color="auto" w:sz="4" w:space="0"/>
              <w:tl2br w:val="nil"/>
              <w:tr2bl w:val="nil"/>
            </w:tcBorders>
            <w:noWrap w:val="0"/>
            <w:vAlign w:val="top"/>
          </w:tcPr>
          <w:p w14:paraId="5C8AAA2D">
            <w:pPr>
              <w:pStyle w:val="6"/>
              <w:widowControl/>
              <w:spacing w:beforeLines="0" w:after="0" w:afterLines="0" w:line="21" w:lineRule="atLeast"/>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托福成绩在100分或雅思成绩7分以上提供8个LL.M奖学金名额，每笔金额为10000美元</w:t>
            </w:r>
          </w:p>
          <w:p w14:paraId="15875FE3">
            <w:pPr>
              <w:pStyle w:val="6"/>
              <w:widowControl/>
              <w:spacing w:beforeLines="0" w:after="0" w:afterLines="0" w:line="21" w:lineRule="atLeast"/>
              <w:rPr>
                <w:rFonts w:hint="eastAsia" w:ascii="Times New Roman" w:hAnsi="Times New Roman" w:eastAsia="宋体"/>
                <w:sz w:val="24"/>
                <w:szCs w:val="24"/>
                <w:highlight w:val="none"/>
              </w:rPr>
            </w:pPr>
          </w:p>
          <w:p w14:paraId="53729DEA">
            <w:pPr>
              <w:pStyle w:val="6"/>
              <w:widowControl/>
              <w:spacing w:beforeLines="0" w:after="0" w:afterLines="0" w:line="21" w:lineRule="atLeast"/>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2024年学费：67488美元</w:t>
            </w:r>
          </w:p>
        </w:tc>
        <w:tc>
          <w:tcPr>
            <w:tcW w:w="1899" w:type="dxa"/>
            <w:tcBorders>
              <w:top w:val="single" w:color="auto" w:sz="4" w:space="0"/>
              <w:left w:val="single" w:color="auto" w:sz="4" w:space="0"/>
              <w:bottom w:val="single" w:color="auto" w:sz="4" w:space="0"/>
              <w:right w:val="single" w:color="auto" w:sz="4" w:space="0"/>
              <w:tl2br w:val="nil"/>
              <w:tr2bl w:val="nil"/>
            </w:tcBorders>
            <w:noWrap w:val="0"/>
            <w:vAlign w:val="top"/>
          </w:tcPr>
          <w:p w14:paraId="5F2074F9">
            <w:pPr>
              <w:pStyle w:val="6"/>
              <w:widowControl/>
              <w:spacing w:beforeLines="0" w:after="0" w:afterLines="0" w:line="21" w:lineRule="atLeast"/>
              <w:jc w:val="both"/>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按照近2年申请情况，提供的奖学金远高于协议设定，可咨询了解</w:t>
            </w:r>
          </w:p>
        </w:tc>
      </w:tr>
      <w:tr w14:paraId="0F19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5" w:type="dxa"/>
            <w:noWrap w:val="0"/>
            <w:vAlign w:val="top"/>
          </w:tcPr>
          <w:p w14:paraId="53CFF5A2">
            <w:pPr>
              <w:rPr>
                <w:rFonts w:hint="eastAsia" w:eastAsia="宋体"/>
                <w:sz w:val="24"/>
                <w:szCs w:val="24"/>
                <w:highlight w:val="none"/>
                <w:lang w:eastAsia="zh-CN"/>
              </w:rPr>
            </w:pPr>
            <w:r>
              <w:rPr>
                <w:rFonts w:hint="eastAsia"/>
                <w:sz w:val="24"/>
                <w:szCs w:val="24"/>
                <w:highlight w:val="none"/>
                <w:lang w:val="en-US" w:eastAsia="zh-CN"/>
              </w:rPr>
              <w:t>2</w:t>
            </w:r>
          </w:p>
        </w:tc>
        <w:tc>
          <w:tcPr>
            <w:tcW w:w="2940" w:type="dxa"/>
            <w:noWrap w:val="0"/>
            <w:vAlign w:val="top"/>
          </w:tcPr>
          <w:p w14:paraId="67608237">
            <w:pPr>
              <w:rPr>
                <w:sz w:val="24"/>
                <w:szCs w:val="24"/>
                <w:highlight w:val="none"/>
              </w:rPr>
            </w:pPr>
            <w:r>
              <w:rPr>
                <w:sz w:val="24"/>
                <w:szCs w:val="24"/>
                <w:highlight w:val="none"/>
              </w:rPr>
              <w:t>美国杜兰大学学位项目</w:t>
            </w:r>
          </w:p>
        </w:tc>
        <w:tc>
          <w:tcPr>
            <w:tcW w:w="1482" w:type="dxa"/>
            <w:noWrap w:val="0"/>
            <w:vAlign w:val="top"/>
          </w:tcPr>
          <w:p w14:paraId="626A6135">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sz w:val="24"/>
                <w:szCs w:val="24"/>
                <w:highlight w:val="none"/>
              </w:rPr>
              <w:t>或春季入学</w:t>
            </w:r>
          </w:p>
        </w:tc>
        <w:tc>
          <w:tcPr>
            <w:tcW w:w="3076" w:type="dxa"/>
            <w:noWrap w:val="0"/>
            <w:vAlign w:val="top"/>
          </w:tcPr>
          <w:p w14:paraId="5FA6CAD2">
            <w:pPr>
              <w:rPr>
                <w:sz w:val="24"/>
                <w:szCs w:val="24"/>
                <w:highlight w:val="none"/>
              </w:rPr>
            </w:pPr>
            <w:r>
              <w:rPr>
                <w:rFonts w:hint="eastAsia"/>
                <w:sz w:val="24"/>
                <w:szCs w:val="24"/>
                <w:highlight w:val="none"/>
              </w:rPr>
              <w:t>1.本科大三或大四学生，非毕业班研究生；</w:t>
            </w:r>
          </w:p>
          <w:p w14:paraId="6C7A6D5C">
            <w:pPr>
              <w:rPr>
                <w:sz w:val="24"/>
                <w:szCs w:val="24"/>
                <w:highlight w:val="none"/>
              </w:rPr>
            </w:pPr>
            <w:r>
              <w:rPr>
                <w:rFonts w:hint="eastAsia"/>
                <w:sz w:val="24"/>
                <w:szCs w:val="24"/>
                <w:highlight w:val="none"/>
              </w:rPr>
              <w:t>2.两年内有效的TOEFL(95以上)或IELTS(6.5)成绩；</w:t>
            </w:r>
          </w:p>
          <w:p w14:paraId="040F542A">
            <w:pPr>
              <w:rPr>
                <w:sz w:val="24"/>
                <w:szCs w:val="24"/>
                <w:highlight w:val="none"/>
              </w:rPr>
            </w:pPr>
            <w:r>
              <w:rPr>
                <w:rFonts w:hint="eastAsia"/>
                <w:sz w:val="24"/>
                <w:szCs w:val="24"/>
                <w:highlight w:val="none"/>
              </w:rPr>
              <w:t>3.学习成绩优良</w:t>
            </w:r>
          </w:p>
        </w:tc>
        <w:tc>
          <w:tcPr>
            <w:tcW w:w="2610" w:type="dxa"/>
            <w:noWrap w:val="0"/>
            <w:vAlign w:val="top"/>
          </w:tcPr>
          <w:p w14:paraId="6776F1BC">
            <w:pPr>
              <w:rPr>
                <w:sz w:val="24"/>
                <w:szCs w:val="24"/>
                <w:highlight w:val="none"/>
              </w:rPr>
            </w:pPr>
            <w:r>
              <w:rPr>
                <w:sz w:val="24"/>
                <w:szCs w:val="24"/>
                <w:highlight w:val="none"/>
              </w:rPr>
              <w:t>学费减免约三分之一</w:t>
            </w:r>
            <w:r>
              <w:rPr>
                <w:rFonts w:hint="eastAsia"/>
                <w:sz w:val="24"/>
                <w:szCs w:val="24"/>
                <w:highlight w:val="none"/>
              </w:rPr>
              <w:t>，</w:t>
            </w:r>
            <w:r>
              <w:rPr>
                <w:sz w:val="24"/>
                <w:szCs w:val="24"/>
                <w:highlight w:val="none"/>
              </w:rPr>
              <w:t>其余费用自理</w:t>
            </w:r>
          </w:p>
        </w:tc>
        <w:tc>
          <w:tcPr>
            <w:tcW w:w="1899" w:type="dxa"/>
            <w:noWrap w:val="0"/>
            <w:vAlign w:val="top"/>
          </w:tcPr>
          <w:p w14:paraId="6E6FDA22">
            <w:pPr>
              <w:rPr>
                <w:rFonts w:hint="default" w:eastAsia="宋体"/>
                <w:sz w:val="24"/>
                <w:szCs w:val="24"/>
                <w:highlight w:val="none"/>
                <w:lang w:val="en-US" w:eastAsia="zh-CN"/>
              </w:rPr>
            </w:pPr>
            <w:r>
              <w:rPr>
                <w:rFonts w:hint="eastAsia"/>
                <w:sz w:val="24"/>
                <w:szCs w:val="24"/>
                <w:highlight w:val="none"/>
                <w:lang w:val="en-US" w:eastAsia="zh-CN"/>
              </w:rPr>
              <w:t>学费减免政策学院会进一步联系</w:t>
            </w:r>
          </w:p>
        </w:tc>
      </w:tr>
      <w:tr w14:paraId="4154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115" w:type="dxa"/>
            <w:noWrap w:val="0"/>
            <w:vAlign w:val="top"/>
          </w:tcPr>
          <w:p w14:paraId="3292926F">
            <w:pPr>
              <w:rPr>
                <w:rFonts w:hint="default"/>
                <w:sz w:val="24"/>
                <w:szCs w:val="24"/>
                <w:highlight w:val="none"/>
                <w:lang w:val="en-US" w:eastAsia="zh-CN"/>
              </w:rPr>
            </w:pPr>
            <w:r>
              <w:rPr>
                <w:rFonts w:hint="eastAsia"/>
                <w:sz w:val="24"/>
                <w:szCs w:val="24"/>
                <w:highlight w:val="none"/>
                <w:lang w:val="en-US" w:eastAsia="zh-CN"/>
              </w:rPr>
              <w:t>3</w:t>
            </w:r>
          </w:p>
        </w:tc>
        <w:tc>
          <w:tcPr>
            <w:tcW w:w="2940" w:type="dxa"/>
            <w:noWrap w:val="0"/>
            <w:vAlign w:val="top"/>
          </w:tcPr>
          <w:p w14:paraId="2146270D">
            <w:pPr>
              <w:rPr>
                <w:sz w:val="24"/>
                <w:szCs w:val="24"/>
                <w:highlight w:val="none"/>
              </w:rPr>
            </w:pPr>
            <w:r>
              <w:rPr>
                <w:sz w:val="24"/>
                <w:szCs w:val="24"/>
                <w:highlight w:val="none"/>
              </w:rPr>
              <w:t>美国凯斯西储大学法学院</w:t>
            </w:r>
            <w:r>
              <w:rPr>
                <w:rFonts w:hint="eastAsia"/>
                <w:sz w:val="24"/>
                <w:szCs w:val="24"/>
                <w:highlight w:val="none"/>
                <w:lang w:val="en-US" w:eastAsia="zh-CN"/>
              </w:rPr>
              <w:t>3+1奖学金</w:t>
            </w:r>
            <w:r>
              <w:rPr>
                <w:sz w:val="24"/>
                <w:szCs w:val="24"/>
                <w:highlight w:val="none"/>
              </w:rPr>
              <w:t>学位项目</w:t>
            </w:r>
          </w:p>
        </w:tc>
        <w:tc>
          <w:tcPr>
            <w:tcW w:w="1482" w:type="dxa"/>
            <w:noWrap w:val="0"/>
            <w:vAlign w:val="top"/>
          </w:tcPr>
          <w:p w14:paraId="5ACF940B">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sz w:val="24"/>
                <w:szCs w:val="24"/>
                <w:highlight w:val="none"/>
              </w:rPr>
              <w:t>或春季入学</w:t>
            </w:r>
          </w:p>
        </w:tc>
        <w:tc>
          <w:tcPr>
            <w:tcW w:w="3076" w:type="dxa"/>
            <w:noWrap w:val="0"/>
            <w:vAlign w:val="top"/>
          </w:tcPr>
          <w:p w14:paraId="57F0060E">
            <w:pPr>
              <w:rPr>
                <w:sz w:val="24"/>
                <w:szCs w:val="24"/>
                <w:highlight w:val="none"/>
              </w:rPr>
            </w:pPr>
            <w:r>
              <w:rPr>
                <w:rFonts w:hint="eastAsia"/>
                <w:sz w:val="24"/>
                <w:szCs w:val="24"/>
                <w:highlight w:val="none"/>
              </w:rPr>
              <w:t>1.本科大三或大四学生</w:t>
            </w:r>
          </w:p>
          <w:p w14:paraId="1DE24BC1">
            <w:pPr>
              <w:rPr>
                <w:rFonts w:hint="eastAsia" w:ascii="Arial" w:hAnsi="Arial" w:cs="Arial"/>
                <w:color w:val="000000"/>
                <w:sz w:val="24"/>
                <w:szCs w:val="24"/>
                <w:highlight w:val="none"/>
              </w:rPr>
            </w:pPr>
            <w:r>
              <w:rPr>
                <w:rFonts w:hint="eastAsia"/>
                <w:sz w:val="24"/>
                <w:szCs w:val="24"/>
                <w:highlight w:val="none"/>
                <w:lang w:val="en-US" w:eastAsia="zh-CN"/>
              </w:rPr>
              <w:t>2</w:t>
            </w:r>
            <w:r>
              <w:rPr>
                <w:rFonts w:hint="eastAsia"/>
                <w:sz w:val="24"/>
                <w:szCs w:val="24"/>
                <w:highlight w:val="none"/>
              </w:rPr>
              <w:t>.学习成绩优良</w:t>
            </w:r>
          </w:p>
        </w:tc>
        <w:tc>
          <w:tcPr>
            <w:tcW w:w="2610" w:type="dxa"/>
            <w:noWrap w:val="0"/>
            <w:vAlign w:val="top"/>
          </w:tcPr>
          <w:p w14:paraId="16192B5B">
            <w:pPr>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1.托福90及以上或雅思7及以上，提供40%学费奖学金；</w:t>
            </w:r>
          </w:p>
          <w:p w14:paraId="40275D2A">
            <w:pPr>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2.托福80-89或雅思6.5，提供30%学费奖学金；</w:t>
            </w:r>
          </w:p>
          <w:p w14:paraId="145E625A">
            <w:pPr>
              <w:rPr>
                <w:rFonts w:hint="default"/>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3.托福70-79或雅思6，提供20%学费奖学金</w:t>
            </w:r>
          </w:p>
        </w:tc>
        <w:tc>
          <w:tcPr>
            <w:tcW w:w="1899" w:type="dxa"/>
            <w:noWrap w:val="0"/>
            <w:vAlign w:val="top"/>
          </w:tcPr>
          <w:p w14:paraId="49DDB9A7">
            <w:pPr>
              <w:rPr>
                <w:rFonts w:hint="default"/>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需额外支付2800美金法学语言项目</w:t>
            </w:r>
          </w:p>
        </w:tc>
      </w:tr>
      <w:tr w14:paraId="2E48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115" w:type="dxa"/>
            <w:noWrap w:val="0"/>
            <w:vAlign w:val="top"/>
          </w:tcPr>
          <w:p w14:paraId="22908F40">
            <w:pPr>
              <w:rPr>
                <w:rFonts w:hint="eastAsia" w:eastAsia="宋体"/>
                <w:sz w:val="24"/>
                <w:szCs w:val="24"/>
                <w:highlight w:val="none"/>
                <w:lang w:val="en-US" w:eastAsia="zh-CN"/>
              </w:rPr>
            </w:pPr>
            <w:r>
              <w:rPr>
                <w:rFonts w:hint="eastAsia"/>
                <w:sz w:val="24"/>
                <w:szCs w:val="24"/>
                <w:highlight w:val="none"/>
                <w:lang w:val="en-US" w:eastAsia="zh-CN"/>
              </w:rPr>
              <w:t>4</w:t>
            </w:r>
          </w:p>
        </w:tc>
        <w:tc>
          <w:tcPr>
            <w:tcW w:w="2940" w:type="dxa"/>
            <w:noWrap w:val="0"/>
            <w:vAlign w:val="top"/>
          </w:tcPr>
          <w:p w14:paraId="5EABE5D0">
            <w:pPr>
              <w:rPr>
                <w:sz w:val="24"/>
                <w:szCs w:val="24"/>
                <w:highlight w:val="none"/>
              </w:rPr>
            </w:pPr>
            <w:r>
              <w:rPr>
                <w:sz w:val="24"/>
                <w:szCs w:val="24"/>
                <w:highlight w:val="none"/>
              </w:rPr>
              <w:t>英国曼彻斯特大学法学院学位项目</w:t>
            </w:r>
          </w:p>
        </w:tc>
        <w:tc>
          <w:tcPr>
            <w:tcW w:w="1482" w:type="dxa"/>
            <w:noWrap w:val="0"/>
            <w:vAlign w:val="top"/>
          </w:tcPr>
          <w:p w14:paraId="61EF9CEB">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sz w:val="24"/>
                <w:szCs w:val="24"/>
                <w:highlight w:val="none"/>
              </w:rPr>
              <w:t>入学</w:t>
            </w:r>
          </w:p>
        </w:tc>
        <w:tc>
          <w:tcPr>
            <w:tcW w:w="3076" w:type="dxa"/>
            <w:noWrap w:val="0"/>
            <w:vAlign w:val="top"/>
          </w:tcPr>
          <w:p w14:paraId="6D29AADD">
            <w:pPr>
              <w:rPr>
                <w:color w:val="000000"/>
                <w:sz w:val="24"/>
                <w:szCs w:val="24"/>
                <w:highlight w:val="none"/>
                <w:shd w:val="clear" w:color="auto" w:fill="FFFFFF"/>
              </w:rPr>
            </w:pPr>
            <w:r>
              <w:rPr>
                <w:rFonts w:hint="eastAsia"/>
                <w:color w:val="000000"/>
                <w:sz w:val="24"/>
                <w:szCs w:val="24"/>
                <w:highlight w:val="none"/>
                <w:shd w:val="clear" w:color="auto" w:fill="FFFFFF"/>
              </w:rPr>
              <w:t>1.本科大四学生，非毕业班的研究生（本科光华法学院）；</w:t>
            </w:r>
          </w:p>
          <w:p w14:paraId="3A5F1A83">
            <w:pPr>
              <w:rPr>
                <w:rFonts w:ascii="Arial" w:hAnsi="Arial" w:cs="Arial"/>
                <w:color w:val="000000"/>
                <w:sz w:val="24"/>
                <w:szCs w:val="24"/>
                <w:highlight w:val="none"/>
              </w:rPr>
            </w:pPr>
            <w:r>
              <w:rPr>
                <w:rFonts w:hint="eastAsia"/>
                <w:color w:val="000000"/>
                <w:sz w:val="24"/>
                <w:szCs w:val="24"/>
                <w:highlight w:val="none"/>
                <w:shd w:val="clear" w:color="auto" w:fill="FFFFFF"/>
              </w:rPr>
              <w:t>2.</w:t>
            </w:r>
            <w:r>
              <w:rPr>
                <w:rFonts w:hint="eastAsia"/>
                <w:sz w:val="24"/>
                <w:szCs w:val="24"/>
                <w:highlight w:val="none"/>
              </w:rPr>
              <w:t>英语语言要求以曼大官网要求为准</w:t>
            </w:r>
          </w:p>
          <w:p w14:paraId="5C13AB56">
            <w:pPr>
              <w:rPr>
                <w:sz w:val="24"/>
                <w:szCs w:val="24"/>
                <w:highlight w:val="none"/>
              </w:rPr>
            </w:pPr>
            <w:r>
              <w:rPr>
                <w:rFonts w:hint="eastAsia" w:ascii="Arial" w:hAnsi="Arial" w:cs="Arial"/>
                <w:color w:val="000000"/>
                <w:sz w:val="24"/>
                <w:szCs w:val="24"/>
                <w:highlight w:val="none"/>
              </w:rPr>
              <w:t xml:space="preserve">3. </w:t>
            </w:r>
            <w:r>
              <w:rPr>
                <w:rFonts w:ascii="Arial" w:hAnsi="Arial" w:cs="Arial"/>
                <w:color w:val="000000"/>
                <w:sz w:val="24"/>
                <w:szCs w:val="24"/>
                <w:highlight w:val="none"/>
              </w:rPr>
              <w:t>GPA</w:t>
            </w:r>
            <w:r>
              <w:rPr>
                <w:rFonts w:hint="eastAsia"/>
                <w:color w:val="000000"/>
                <w:sz w:val="24"/>
                <w:szCs w:val="24"/>
                <w:highlight w:val="none"/>
              </w:rPr>
              <w:t>绩点</w:t>
            </w:r>
            <w:r>
              <w:rPr>
                <w:rFonts w:ascii="Arial" w:hAnsi="Arial" w:cs="Arial"/>
                <w:color w:val="000000"/>
                <w:sz w:val="24"/>
                <w:szCs w:val="24"/>
                <w:highlight w:val="none"/>
              </w:rPr>
              <w:t>3.2</w:t>
            </w:r>
          </w:p>
        </w:tc>
        <w:tc>
          <w:tcPr>
            <w:tcW w:w="2610" w:type="dxa"/>
            <w:noWrap w:val="0"/>
            <w:vAlign w:val="top"/>
          </w:tcPr>
          <w:p w14:paraId="2D9AF466">
            <w:pPr>
              <w:rPr>
                <w:sz w:val="24"/>
                <w:szCs w:val="24"/>
                <w:highlight w:val="none"/>
              </w:rPr>
            </w:pPr>
            <w:r>
              <w:rPr>
                <w:rFonts w:hint="eastAsia"/>
                <w:color w:val="000000"/>
                <w:sz w:val="24"/>
                <w:szCs w:val="24"/>
                <w:highlight w:val="none"/>
                <w:shd w:val="clear" w:color="auto" w:fill="FFFFFF"/>
              </w:rPr>
              <w:t>学费减免十分之一，其余费用自理</w:t>
            </w:r>
          </w:p>
        </w:tc>
        <w:tc>
          <w:tcPr>
            <w:tcW w:w="1899" w:type="dxa"/>
            <w:noWrap w:val="0"/>
            <w:vAlign w:val="top"/>
          </w:tcPr>
          <w:p w14:paraId="7F825DBC">
            <w:pPr>
              <w:rPr>
                <w:rFonts w:hint="default" w:eastAsia="宋体"/>
                <w:color w:val="000000"/>
                <w:sz w:val="24"/>
                <w:szCs w:val="24"/>
                <w:highlight w:val="none"/>
                <w:shd w:val="clear" w:color="auto" w:fill="FFFFFF"/>
                <w:lang w:val="en-US" w:eastAsia="zh-CN"/>
              </w:rPr>
            </w:pPr>
            <w:bookmarkStart w:id="0" w:name="OLE_LINK4"/>
            <w:r>
              <w:rPr>
                <w:rFonts w:hint="eastAsia"/>
                <w:color w:val="000000"/>
                <w:sz w:val="24"/>
                <w:szCs w:val="24"/>
                <w:highlight w:val="none"/>
                <w:shd w:val="clear" w:color="auto" w:fill="FFFFFF"/>
                <w:lang w:val="en-US" w:eastAsia="zh-CN"/>
              </w:rPr>
              <w:t>协议到期，学院可协助推荐</w:t>
            </w:r>
            <w:bookmarkEnd w:id="0"/>
          </w:p>
        </w:tc>
      </w:tr>
      <w:tr w14:paraId="50F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08A006B4">
            <w:pPr>
              <w:rPr>
                <w:rFonts w:hint="default"/>
                <w:sz w:val="24"/>
                <w:szCs w:val="24"/>
                <w:highlight w:val="none"/>
                <w:lang w:val="en-US" w:eastAsia="zh-CN"/>
              </w:rPr>
            </w:pPr>
            <w:r>
              <w:rPr>
                <w:rFonts w:hint="eastAsia"/>
                <w:sz w:val="24"/>
                <w:szCs w:val="24"/>
                <w:highlight w:val="none"/>
                <w:lang w:val="en-US" w:eastAsia="zh-CN"/>
              </w:rPr>
              <w:t>5</w:t>
            </w:r>
          </w:p>
        </w:tc>
        <w:tc>
          <w:tcPr>
            <w:tcW w:w="2940" w:type="dxa"/>
            <w:shd w:val="clear" w:color="auto" w:fill="auto"/>
            <w:noWrap w:val="0"/>
            <w:vAlign w:val="top"/>
          </w:tcPr>
          <w:p w14:paraId="2881F4F8">
            <w:pPr>
              <w:rPr>
                <w:rFonts w:ascii="Times New Roman" w:hAnsi="Times New Roman" w:eastAsia="宋体" w:cs="Times New Roman"/>
                <w:kern w:val="2"/>
                <w:sz w:val="24"/>
                <w:szCs w:val="24"/>
                <w:highlight w:val="none"/>
                <w:lang w:val="en-US" w:eastAsia="zh-CN" w:bidi="ar-SA"/>
              </w:rPr>
            </w:pPr>
            <w:r>
              <w:rPr>
                <w:sz w:val="24"/>
                <w:szCs w:val="24"/>
                <w:highlight w:val="none"/>
              </w:rPr>
              <w:t>美国天普大学法学院</w:t>
            </w:r>
            <w:r>
              <w:rPr>
                <w:rFonts w:hint="default"/>
                <w:sz w:val="24"/>
                <w:szCs w:val="24"/>
                <w:highlight w:val="none"/>
                <w:lang w:val="en-US" w:eastAsia="zh-CN"/>
              </w:rPr>
              <w:t>交换</w:t>
            </w:r>
            <w:r>
              <w:rPr>
                <w:sz w:val="24"/>
                <w:szCs w:val="24"/>
                <w:highlight w:val="none"/>
              </w:rPr>
              <w:t>项目</w:t>
            </w:r>
          </w:p>
        </w:tc>
        <w:tc>
          <w:tcPr>
            <w:tcW w:w="1482" w:type="dxa"/>
            <w:shd w:val="clear" w:color="auto" w:fill="auto"/>
            <w:noWrap w:val="0"/>
            <w:vAlign w:val="top"/>
          </w:tcPr>
          <w:p w14:paraId="00CDE4B1">
            <w:pP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color w:val="auto"/>
                <w:sz w:val="24"/>
                <w:szCs w:val="24"/>
                <w:highlight w:val="none"/>
                <w:shd w:val="clear" w:color="auto" w:fill="auto"/>
              </w:rPr>
              <w:t>秋季或春季入学</w:t>
            </w:r>
          </w:p>
        </w:tc>
        <w:tc>
          <w:tcPr>
            <w:tcW w:w="3076" w:type="dxa"/>
            <w:shd w:val="clear" w:color="auto" w:fill="auto"/>
            <w:noWrap w:val="0"/>
            <w:vAlign w:val="top"/>
          </w:tcPr>
          <w:p w14:paraId="6AE81447">
            <w:pPr>
              <w:widowControl/>
              <w:shd w:val="clear" w:color="auto" w:fill="auto"/>
              <w:spacing w:line="240" w:lineRule="auto"/>
              <w:jc w:val="left"/>
              <w:rPr>
                <w:rFonts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1.本科大三或大四学生，非毕业班的研究生；</w:t>
            </w:r>
          </w:p>
          <w:p w14:paraId="64D8DDFB">
            <w:pPr>
              <w:widowControl/>
              <w:shd w:val="clear" w:color="auto" w:fill="auto"/>
              <w:spacing w:line="240" w:lineRule="auto"/>
              <w:jc w:val="left"/>
              <w:rPr>
                <w:rFonts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2.两年内有效的TOEFL（95以上）或IELTS（6.5）成绩；</w:t>
            </w:r>
          </w:p>
          <w:p w14:paraId="2EDDE511">
            <w:pPr>
              <w:widowControl/>
              <w:shd w:val="clear" w:color="auto" w:fill="auto"/>
              <w:spacing w:line="240" w:lineRule="auto"/>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rPr>
              <w:t>3.学习成绩优良</w:t>
            </w:r>
          </w:p>
        </w:tc>
        <w:tc>
          <w:tcPr>
            <w:tcW w:w="2610" w:type="dxa"/>
            <w:shd w:val="clear" w:color="auto" w:fill="auto"/>
            <w:noWrap w:val="0"/>
            <w:vAlign w:val="top"/>
          </w:tcPr>
          <w:p w14:paraId="0E97F125">
            <w:pPr>
              <w:rPr>
                <w:rFonts w:hint="default" w:ascii="Times New Roman" w:hAnsi="Times New Roman" w:eastAsia="宋体" w:cs="Times New Roman"/>
                <w:color w:val="auto"/>
                <w:kern w:val="2"/>
                <w:sz w:val="24"/>
                <w:szCs w:val="24"/>
                <w:highlight w:val="none"/>
                <w:lang w:val="zh-CN" w:eastAsia="zh-CN" w:bidi="ar-SA"/>
              </w:rPr>
            </w:pPr>
            <w:r>
              <w:rPr>
                <w:rFonts w:hint="default" w:ascii="Times New Roman" w:cs="Times New Roman"/>
                <w:color w:val="auto"/>
                <w:sz w:val="24"/>
                <w:szCs w:val="24"/>
                <w:highlight w:val="none"/>
                <w:lang w:val="zh-CN" w:eastAsia="zh-CN"/>
              </w:rPr>
              <w:t>免除申请费，并向学生每学期提供2</w:t>
            </w:r>
            <w:r>
              <w:rPr>
                <w:rFonts w:ascii="Times New Roman" w:cs="Times New Roman"/>
                <w:color w:val="auto"/>
                <w:sz w:val="24"/>
                <w:szCs w:val="24"/>
                <w:highlight w:val="none"/>
                <w:lang w:val="zh-CN" w:eastAsia="zh-CN"/>
              </w:rPr>
              <w:t>5</w:t>
            </w:r>
            <w:r>
              <w:rPr>
                <w:rFonts w:cs="Times New Roman"/>
                <w:color w:val="auto"/>
                <w:sz w:val="24"/>
                <w:szCs w:val="24"/>
                <w:highlight w:val="none"/>
                <w:lang w:eastAsia="zh-CN"/>
              </w:rPr>
              <w:t>%</w:t>
            </w:r>
            <w:r>
              <w:rPr>
                <w:rFonts w:hint="default" w:ascii="Times New Roman" w:cs="Times New Roman"/>
                <w:color w:val="auto"/>
                <w:sz w:val="24"/>
                <w:szCs w:val="24"/>
                <w:highlight w:val="none"/>
                <w:lang w:val="zh-CN" w:eastAsia="zh-CN"/>
              </w:rPr>
              <w:t>的学费奖学金</w:t>
            </w:r>
          </w:p>
        </w:tc>
        <w:tc>
          <w:tcPr>
            <w:tcW w:w="1899" w:type="dxa"/>
            <w:shd w:val="clear" w:color="auto" w:fill="auto"/>
            <w:noWrap w:val="0"/>
            <w:vAlign w:val="top"/>
          </w:tcPr>
          <w:p w14:paraId="6D75D87C">
            <w:pPr>
              <w:spacing w:line="280" w:lineRule="exact"/>
              <w:ind w:left="0"/>
              <w:rPr>
                <w:rFonts w:cs="Times New Roman"/>
                <w:sz w:val="24"/>
                <w:szCs w:val="24"/>
                <w:highlight w:val="none"/>
                <w:lang w:eastAsia="zh-CN"/>
              </w:rPr>
            </w:pPr>
            <w:r>
              <w:rPr>
                <w:rFonts w:hint="default" w:ascii="Times New Roman" w:cs="Times New Roman"/>
                <w:sz w:val="24"/>
                <w:szCs w:val="24"/>
                <w:highlight w:val="none"/>
                <w:lang w:val="en-US" w:eastAsia="zh-CN"/>
              </w:rPr>
              <w:t>1.</w:t>
            </w:r>
            <w:r>
              <w:rPr>
                <w:rFonts w:hint="default" w:ascii="Times New Roman" w:hAnsi="Times New Roman" w:cs="Times New Roman"/>
                <w:sz w:val="24"/>
                <w:szCs w:val="24"/>
                <w:highlight w:val="none"/>
                <w:lang w:val="zh-CN" w:eastAsia="zh-CN"/>
              </w:rPr>
              <w:t>天普允许留学一学期的学生最多转入</w:t>
            </w:r>
            <w:r>
              <w:rPr>
                <w:rFonts w:ascii="Times New Roman" w:hAnsi="Times New Roman" w:cs="Times New Roman"/>
                <w:sz w:val="24"/>
                <w:szCs w:val="24"/>
                <w:highlight w:val="none"/>
                <w:lang w:val="zh-CN" w:eastAsia="zh-CN"/>
              </w:rPr>
              <w:t>12</w:t>
            </w:r>
            <w:r>
              <w:rPr>
                <w:rFonts w:hint="default" w:ascii="Times New Roman" w:hAnsi="Times New Roman" w:cs="Times New Roman"/>
                <w:sz w:val="24"/>
                <w:szCs w:val="24"/>
                <w:highlight w:val="none"/>
                <w:lang w:val="zh-CN" w:eastAsia="zh-CN"/>
              </w:rPr>
              <w:t>学分累计到</w:t>
            </w:r>
            <w:r>
              <w:rPr>
                <w:rFonts w:cs="Times New Roman"/>
                <w:sz w:val="24"/>
                <w:szCs w:val="24"/>
                <w:highlight w:val="none"/>
                <w:lang w:val="zh-CN" w:eastAsia="zh-CN"/>
              </w:rPr>
              <w:t>LLM</w:t>
            </w:r>
            <w:r>
              <w:rPr>
                <w:rFonts w:hint="default" w:ascii="Times New Roman" w:hAnsi="Times New Roman" w:cs="Times New Roman"/>
                <w:sz w:val="24"/>
                <w:szCs w:val="24"/>
                <w:highlight w:val="none"/>
                <w:lang w:val="zh-CN" w:eastAsia="zh-CN"/>
              </w:rPr>
              <w:t>学位。该“一学期交换项目”学分从获得</w:t>
            </w:r>
            <w:r>
              <w:rPr>
                <w:rFonts w:hint="default" w:ascii="Times New Roman" w:hAnsi="Times New Roman" w:cs="Times New Roman"/>
                <w:sz w:val="24"/>
                <w:szCs w:val="24"/>
                <w:highlight w:val="none"/>
                <w:lang w:eastAsia="zh-CN"/>
              </w:rPr>
              <w:t>成绩单</w:t>
            </w:r>
            <w:r>
              <w:rPr>
                <w:rFonts w:hint="default" w:ascii="Times New Roman" w:hAnsi="Times New Roman" w:cs="Times New Roman"/>
                <w:sz w:val="24"/>
                <w:szCs w:val="24"/>
                <w:highlight w:val="none"/>
                <w:lang w:val="zh-CN" w:eastAsia="zh-CN"/>
              </w:rPr>
              <w:t>之日起4年内有效。</w:t>
            </w:r>
          </w:p>
          <w:p w14:paraId="5565BA41">
            <w:pP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cs="Times New Roman"/>
                <w:color w:val="auto"/>
                <w:kern w:val="2"/>
                <w:sz w:val="24"/>
                <w:szCs w:val="24"/>
                <w:highlight w:val="none"/>
                <w:shd w:val="clear" w:color="auto" w:fill="auto"/>
                <w:lang w:val="en-US" w:eastAsia="zh-CN" w:bidi="ar-SA"/>
              </w:rPr>
              <w:t>2.协议到期，学院可协助推荐</w:t>
            </w:r>
          </w:p>
        </w:tc>
      </w:tr>
      <w:tr w14:paraId="67DD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08D589A6">
            <w:pPr>
              <w:rPr>
                <w:rFonts w:hint="eastAsia" w:eastAsia="宋体"/>
                <w:sz w:val="24"/>
                <w:szCs w:val="24"/>
                <w:highlight w:val="none"/>
                <w:lang w:val="en-US" w:eastAsia="zh-CN"/>
              </w:rPr>
            </w:pPr>
            <w:r>
              <w:rPr>
                <w:rFonts w:hint="eastAsia"/>
                <w:sz w:val="24"/>
                <w:szCs w:val="24"/>
                <w:highlight w:val="none"/>
                <w:lang w:val="en-US" w:eastAsia="zh-CN"/>
              </w:rPr>
              <w:t>6</w:t>
            </w:r>
          </w:p>
        </w:tc>
        <w:tc>
          <w:tcPr>
            <w:tcW w:w="2940" w:type="dxa"/>
            <w:noWrap w:val="0"/>
            <w:vAlign w:val="top"/>
          </w:tcPr>
          <w:p w14:paraId="6BF11257">
            <w:pPr>
              <w:rPr>
                <w:sz w:val="24"/>
                <w:szCs w:val="24"/>
                <w:highlight w:val="none"/>
              </w:rPr>
            </w:pPr>
            <w:r>
              <w:rPr>
                <w:sz w:val="24"/>
                <w:szCs w:val="24"/>
                <w:highlight w:val="none"/>
              </w:rPr>
              <w:t>美国天普大学法学院学位项目</w:t>
            </w:r>
          </w:p>
        </w:tc>
        <w:tc>
          <w:tcPr>
            <w:tcW w:w="1482" w:type="dxa"/>
            <w:noWrap w:val="0"/>
            <w:vAlign w:val="top"/>
          </w:tcPr>
          <w:p w14:paraId="3D4D87D1">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rFonts w:hint="eastAsia"/>
                <w:color w:val="000000"/>
                <w:sz w:val="24"/>
                <w:szCs w:val="24"/>
                <w:highlight w:val="none"/>
                <w:shd w:val="clear" w:color="auto" w:fill="FFFFFF"/>
              </w:rPr>
              <w:t>或春季入学</w:t>
            </w:r>
          </w:p>
        </w:tc>
        <w:tc>
          <w:tcPr>
            <w:tcW w:w="3076" w:type="dxa"/>
            <w:noWrap w:val="0"/>
            <w:vAlign w:val="top"/>
          </w:tcPr>
          <w:p w14:paraId="6396098C">
            <w:pPr>
              <w:widowControl/>
              <w:shd w:val="clear" w:color="auto" w:fill="FFFFFF"/>
              <w:spacing w:line="240" w:lineRule="atLeas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1.本科大三或大四学生，非毕业班的研究生；</w:t>
            </w:r>
          </w:p>
          <w:p w14:paraId="2F022DB6">
            <w:pPr>
              <w:widowControl/>
              <w:shd w:val="clear" w:color="auto" w:fill="FFFFFF"/>
              <w:spacing w:line="240" w:lineRule="atLeas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2.两年内有效的TOEFL（95以上）或IELTS（6.5）成绩；</w:t>
            </w:r>
          </w:p>
          <w:p w14:paraId="0B780235">
            <w:pPr>
              <w:widowControl/>
              <w:shd w:val="clear" w:color="auto" w:fill="FFFFFF"/>
              <w:spacing w:line="240" w:lineRule="atLeast"/>
              <w:jc w:val="left"/>
              <w:rPr>
                <w:sz w:val="24"/>
                <w:szCs w:val="24"/>
                <w:highlight w:val="none"/>
              </w:rPr>
            </w:pPr>
            <w:r>
              <w:rPr>
                <w:rFonts w:hint="eastAsia" w:ascii="宋体" w:hAnsi="宋体" w:cs="宋体"/>
                <w:color w:val="000000"/>
                <w:kern w:val="0"/>
                <w:sz w:val="24"/>
                <w:szCs w:val="24"/>
                <w:highlight w:val="none"/>
              </w:rPr>
              <w:t>3.</w:t>
            </w:r>
            <w:r>
              <w:rPr>
                <w:rFonts w:hint="eastAsia" w:ascii="宋体" w:hAnsi="宋体" w:cs="宋体"/>
                <w:color w:val="000000"/>
                <w:kern w:val="0"/>
                <w:sz w:val="24"/>
                <w:szCs w:val="24"/>
                <w:highlight w:val="none"/>
                <w:lang w:val="en-US" w:eastAsia="zh-CN"/>
              </w:rPr>
              <w:t>学习</w:t>
            </w:r>
            <w:r>
              <w:rPr>
                <w:rFonts w:hint="eastAsia" w:ascii="宋体" w:hAnsi="宋体" w:cs="宋体"/>
                <w:color w:val="000000"/>
                <w:kern w:val="0"/>
                <w:sz w:val="24"/>
                <w:szCs w:val="24"/>
                <w:highlight w:val="none"/>
              </w:rPr>
              <w:t>成绩优良</w:t>
            </w:r>
          </w:p>
        </w:tc>
        <w:tc>
          <w:tcPr>
            <w:tcW w:w="2610" w:type="dxa"/>
            <w:noWrap w:val="0"/>
            <w:vAlign w:val="top"/>
          </w:tcPr>
          <w:p w14:paraId="61F23088">
            <w:pPr>
              <w:rPr>
                <w:sz w:val="24"/>
                <w:szCs w:val="24"/>
                <w:highlight w:val="none"/>
              </w:rPr>
            </w:pPr>
            <w:r>
              <w:rPr>
                <w:rFonts w:hint="default" w:ascii="Times New Roman" w:cs="Times New Roman"/>
                <w:color w:val="auto"/>
                <w:sz w:val="24"/>
                <w:szCs w:val="24"/>
                <w:highlight w:val="none"/>
                <w:lang w:val="zh-CN" w:eastAsia="zh-CN"/>
              </w:rPr>
              <w:t>免除申请费，并向学生每学期提供2</w:t>
            </w:r>
            <w:r>
              <w:rPr>
                <w:rFonts w:ascii="Times New Roman" w:cs="Times New Roman"/>
                <w:color w:val="auto"/>
                <w:sz w:val="24"/>
                <w:szCs w:val="24"/>
                <w:highlight w:val="none"/>
                <w:lang w:val="zh-CN" w:eastAsia="zh-CN"/>
              </w:rPr>
              <w:t>5</w:t>
            </w:r>
            <w:r>
              <w:rPr>
                <w:rFonts w:cs="Times New Roman"/>
                <w:color w:val="auto"/>
                <w:sz w:val="24"/>
                <w:szCs w:val="24"/>
                <w:highlight w:val="none"/>
                <w:lang w:eastAsia="zh-CN"/>
              </w:rPr>
              <w:t>%</w:t>
            </w:r>
            <w:r>
              <w:rPr>
                <w:rFonts w:hint="default" w:ascii="Times New Roman" w:cs="Times New Roman"/>
                <w:color w:val="auto"/>
                <w:sz w:val="24"/>
                <w:szCs w:val="24"/>
                <w:highlight w:val="none"/>
                <w:lang w:val="zh-CN" w:eastAsia="zh-CN"/>
              </w:rPr>
              <w:t>的学费奖学金</w:t>
            </w:r>
          </w:p>
        </w:tc>
        <w:tc>
          <w:tcPr>
            <w:tcW w:w="1899" w:type="dxa"/>
            <w:noWrap w:val="0"/>
            <w:vAlign w:val="top"/>
          </w:tcPr>
          <w:p w14:paraId="0FFE1A91">
            <w:pPr>
              <w:rPr>
                <w:color w:val="000000"/>
                <w:sz w:val="24"/>
                <w:szCs w:val="24"/>
                <w:highlight w:val="none"/>
                <w:shd w:val="clear" w:color="auto" w:fill="FFFFFF"/>
              </w:rPr>
            </w:pPr>
          </w:p>
        </w:tc>
      </w:tr>
      <w:tr w14:paraId="65D8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18FFDD00">
            <w:pPr>
              <w:rPr>
                <w:rFonts w:hint="eastAsia" w:eastAsia="宋体"/>
                <w:sz w:val="24"/>
                <w:szCs w:val="24"/>
                <w:highlight w:val="none"/>
                <w:lang w:val="en-US" w:eastAsia="zh-CN"/>
              </w:rPr>
            </w:pPr>
            <w:r>
              <w:rPr>
                <w:rFonts w:hint="eastAsia"/>
                <w:sz w:val="24"/>
                <w:szCs w:val="24"/>
                <w:highlight w:val="none"/>
                <w:lang w:val="en-US" w:eastAsia="zh-CN"/>
              </w:rPr>
              <w:t>7</w:t>
            </w:r>
          </w:p>
        </w:tc>
        <w:tc>
          <w:tcPr>
            <w:tcW w:w="2940" w:type="dxa"/>
            <w:noWrap w:val="0"/>
            <w:vAlign w:val="top"/>
          </w:tcPr>
          <w:p w14:paraId="480E72F3">
            <w:pPr>
              <w:rPr>
                <w:sz w:val="24"/>
                <w:szCs w:val="24"/>
                <w:highlight w:val="none"/>
              </w:rPr>
            </w:pPr>
            <w:r>
              <w:rPr>
                <w:rFonts w:hint="eastAsia"/>
                <w:sz w:val="24"/>
                <w:szCs w:val="24"/>
                <w:highlight w:val="none"/>
              </w:rPr>
              <w:t>悉尼大学法学院学位项目</w:t>
            </w:r>
          </w:p>
        </w:tc>
        <w:tc>
          <w:tcPr>
            <w:tcW w:w="1482" w:type="dxa"/>
            <w:noWrap w:val="0"/>
            <w:vAlign w:val="top"/>
          </w:tcPr>
          <w:p w14:paraId="353B01CC">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rFonts w:hint="eastAsia"/>
                <w:sz w:val="24"/>
                <w:szCs w:val="24"/>
                <w:highlight w:val="none"/>
              </w:rPr>
              <w:t>或春季入学，每年至多10个名额</w:t>
            </w:r>
          </w:p>
        </w:tc>
        <w:tc>
          <w:tcPr>
            <w:tcW w:w="3076" w:type="dxa"/>
            <w:noWrap w:val="0"/>
            <w:vAlign w:val="top"/>
          </w:tcPr>
          <w:p w14:paraId="40F0A380">
            <w:pPr>
              <w:rPr>
                <w:sz w:val="24"/>
                <w:szCs w:val="24"/>
                <w:highlight w:val="none"/>
              </w:rPr>
            </w:pPr>
            <w:r>
              <w:rPr>
                <w:rFonts w:hint="eastAsia"/>
                <w:sz w:val="24"/>
                <w:szCs w:val="24"/>
                <w:highlight w:val="none"/>
              </w:rPr>
              <w:t>1.光华法学院研究生（本科法学专业毕业可申请LLM，非法学法硕学生可尝试申请specialist masters program），最终录取与否由悉尼大学审核决定</w:t>
            </w:r>
            <w:r>
              <w:rPr>
                <w:sz w:val="24"/>
                <w:szCs w:val="24"/>
                <w:highlight w:val="none"/>
              </w:rPr>
              <w:t>；</w:t>
            </w:r>
          </w:p>
          <w:p w14:paraId="65DEADDC">
            <w:pPr>
              <w:rPr>
                <w:sz w:val="24"/>
                <w:szCs w:val="24"/>
                <w:highlight w:val="none"/>
              </w:rPr>
            </w:pPr>
            <w:r>
              <w:rPr>
                <w:rFonts w:hint="eastAsia"/>
                <w:sz w:val="24"/>
                <w:szCs w:val="24"/>
                <w:highlight w:val="none"/>
              </w:rPr>
              <w:t>2.雅思总分7分，各项不低于6分；或托福机考96分，各项要求阅读、听力、口语17分，写作19分（语言要求以悉尼大学官网要求为准，未达标者入读英语课程规则参见悉尼大学官网）；</w:t>
            </w:r>
          </w:p>
          <w:p w14:paraId="4B978379">
            <w:pPr>
              <w:rPr>
                <w:sz w:val="24"/>
                <w:szCs w:val="24"/>
                <w:highlight w:val="none"/>
              </w:rPr>
            </w:pPr>
            <w:r>
              <w:rPr>
                <w:rFonts w:hint="eastAsia"/>
                <w:sz w:val="24"/>
                <w:szCs w:val="24"/>
                <w:highlight w:val="none"/>
              </w:rPr>
              <w:t>3.学习成绩优良，211大学本科总平均分不低于70分，非211大学不低于80分</w:t>
            </w:r>
            <w:r>
              <w:rPr>
                <w:sz w:val="24"/>
                <w:szCs w:val="24"/>
                <w:highlight w:val="none"/>
              </w:rPr>
              <w:t>。</w:t>
            </w:r>
          </w:p>
        </w:tc>
        <w:tc>
          <w:tcPr>
            <w:tcW w:w="2610" w:type="dxa"/>
            <w:noWrap w:val="0"/>
            <w:vAlign w:val="top"/>
          </w:tcPr>
          <w:p w14:paraId="6C08B5E8">
            <w:pPr>
              <w:rPr>
                <w:rFonts w:hint="eastAsia" w:eastAsia="宋体"/>
                <w:sz w:val="24"/>
                <w:szCs w:val="24"/>
                <w:highlight w:val="none"/>
                <w:lang w:eastAsia="zh-CN"/>
              </w:rPr>
            </w:pPr>
            <w:r>
              <w:rPr>
                <w:rFonts w:hint="eastAsia"/>
                <w:color w:val="000000"/>
                <w:sz w:val="24"/>
                <w:szCs w:val="24"/>
                <w:highlight w:val="none"/>
                <w:shd w:val="clear" w:color="auto" w:fill="FFFFFF"/>
              </w:rPr>
              <w:t>学费，注册费、生活费等费用自理。学费享受澳洲本地学生学费待遇，比普通国际学生减免8500澳元左右</w:t>
            </w:r>
            <w:r>
              <w:rPr>
                <w:rFonts w:hint="eastAsia"/>
                <w:color w:val="000000"/>
                <w:sz w:val="24"/>
                <w:szCs w:val="24"/>
                <w:highlight w:val="none"/>
                <w:shd w:val="clear" w:color="auto" w:fill="FFFFFF"/>
                <w:lang w:eastAsia="zh-CN"/>
              </w:rPr>
              <w:t>（</w:t>
            </w:r>
            <w:r>
              <w:rPr>
                <w:rFonts w:hint="eastAsia"/>
                <w:color w:val="000000"/>
                <w:sz w:val="24"/>
                <w:szCs w:val="24"/>
                <w:highlight w:val="none"/>
                <w:shd w:val="clear" w:color="auto" w:fill="FFFFFF"/>
                <w:lang w:val="en-US" w:eastAsia="zh-CN"/>
              </w:rPr>
              <w:t>只针对LLM项目</w:t>
            </w:r>
            <w:r>
              <w:rPr>
                <w:rFonts w:hint="eastAsia"/>
                <w:color w:val="000000"/>
                <w:sz w:val="24"/>
                <w:szCs w:val="24"/>
                <w:highlight w:val="none"/>
                <w:shd w:val="clear" w:color="auto" w:fill="FFFFFF"/>
                <w:lang w:eastAsia="zh-CN"/>
              </w:rPr>
              <w:t>）</w:t>
            </w:r>
          </w:p>
        </w:tc>
        <w:tc>
          <w:tcPr>
            <w:tcW w:w="1899" w:type="dxa"/>
            <w:noWrap w:val="0"/>
            <w:vAlign w:val="top"/>
          </w:tcPr>
          <w:p w14:paraId="47A94ACD">
            <w:pPr>
              <w:rPr>
                <w:color w:val="000000"/>
                <w:sz w:val="24"/>
                <w:szCs w:val="24"/>
                <w:highlight w:val="none"/>
                <w:shd w:val="clear" w:color="auto" w:fill="FFFFFF"/>
              </w:rPr>
            </w:pPr>
          </w:p>
        </w:tc>
      </w:tr>
      <w:tr w14:paraId="2180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0F3078A2">
            <w:pPr>
              <w:rPr>
                <w:rFonts w:hint="default" w:eastAsia="宋体"/>
                <w:sz w:val="24"/>
                <w:szCs w:val="24"/>
                <w:highlight w:val="none"/>
                <w:lang w:val="en-US" w:eastAsia="zh-CN"/>
              </w:rPr>
            </w:pPr>
            <w:r>
              <w:rPr>
                <w:rFonts w:hint="eastAsia"/>
                <w:sz w:val="24"/>
                <w:szCs w:val="24"/>
                <w:highlight w:val="none"/>
                <w:lang w:val="en-US" w:eastAsia="zh-CN"/>
              </w:rPr>
              <w:t>8</w:t>
            </w:r>
          </w:p>
        </w:tc>
        <w:tc>
          <w:tcPr>
            <w:tcW w:w="2940" w:type="dxa"/>
            <w:noWrap w:val="0"/>
            <w:vAlign w:val="top"/>
          </w:tcPr>
          <w:p w14:paraId="5480D8D6">
            <w:pPr>
              <w:rPr>
                <w:sz w:val="24"/>
                <w:szCs w:val="24"/>
                <w:highlight w:val="none"/>
              </w:rPr>
            </w:pPr>
            <w:r>
              <w:rPr>
                <w:sz w:val="24"/>
                <w:szCs w:val="24"/>
                <w:highlight w:val="none"/>
              </w:rPr>
              <w:t>美国杜肯大学法学院</w:t>
            </w:r>
            <w:r>
              <w:rPr>
                <w:rFonts w:hint="eastAsia"/>
                <w:sz w:val="24"/>
                <w:szCs w:val="24"/>
                <w:highlight w:val="none"/>
              </w:rPr>
              <w:t>LLM</w:t>
            </w:r>
            <w:r>
              <w:rPr>
                <w:sz w:val="24"/>
                <w:szCs w:val="24"/>
                <w:highlight w:val="none"/>
              </w:rPr>
              <w:t>学位项目</w:t>
            </w:r>
          </w:p>
        </w:tc>
        <w:tc>
          <w:tcPr>
            <w:tcW w:w="1482" w:type="dxa"/>
            <w:noWrap w:val="0"/>
            <w:vAlign w:val="top"/>
          </w:tcPr>
          <w:p w14:paraId="2854A253">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rFonts w:hint="eastAsia"/>
                <w:sz w:val="24"/>
                <w:szCs w:val="24"/>
                <w:highlight w:val="none"/>
              </w:rPr>
              <w:t>入学（一学年）</w:t>
            </w:r>
          </w:p>
        </w:tc>
        <w:tc>
          <w:tcPr>
            <w:tcW w:w="3076" w:type="dxa"/>
            <w:noWrap w:val="0"/>
            <w:vAlign w:val="top"/>
          </w:tcPr>
          <w:p w14:paraId="0E567D73">
            <w:pPr>
              <w:rPr>
                <w:sz w:val="24"/>
                <w:szCs w:val="24"/>
                <w:highlight w:val="none"/>
              </w:rPr>
            </w:pPr>
            <w:r>
              <w:rPr>
                <w:rFonts w:hint="eastAsia"/>
                <w:sz w:val="24"/>
                <w:szCs w:val="24"/>
                <w:highlight w:val="none"/>
              </w:rPr>
              <w:t>1.本科大三、大四学生及非毕业班研究生</w:t>
            </w:r>
          </w:p>
          <w:p w14:paraId="73631FBD">
            <w:pPr>
              <w:rPr>
                <w:sz w:val="24"/>
                <w:szCs w:val="24"/>
                <w:highlight w:val="none"/>
              </w:rPr>
            </w:pPr>
            <w:r>
              <w:rPr>
                <w:rFonts w:hint="eastAsia"/>
                <w:sz w:val="24"/>
                <w:szCs w:val="24"/>
                <w:highlight w:val="none"/>
              </w:rPr>
              <w:t>2. 两年内有效的雅思至少6分或托福至少80分</w:t>
            </w:r>
          </w:p>
        </w:tc>
        <w:tc>
          <w:tcPr>
            <w:tcW w:w="2610" w:type="dxa"/>
            <w:noWrap w:val="0"/>
            <w:vAlign w:val="top"/>
          </w:tcPr>
          <w:p w14:paraId="1BD132EB">
            <w:pPr>
              <w:rPr>
                <w:rFonts w:hint="default" w:eastAsia="宋体"/>
                <w:sz w:val="24"/>
                <w:szCs w:val="24"/>
                <w:highlight w:val="none"/>
                <w:lang w:val="en-US" w:eastAsia="zh-CN"/>
              </w:rPr>
            </w:pPr>
            <w:r>
              <w:rPr>
                <w:rFonts w:hint="eastAsia"/>
                <w:sz w:val="24"/>
                <w:szCs w:val="24"/>
                <w:highlight w:val="none"/>
              </w:rPr>
              <w:t>每位学生奖学金7000美元</w:t>
            </w:r>
            <w:r>
              <w:rPr>
                <w:rFonts w:hint="eastAsia"/>
                <w:sz w:val="24"/>
                <w:szCs w:val="24"/>
                <w:highlight w:val="none"/>
                <w:lang w:eastAsia="zh-CN"/>
              </w:rPr>
              <w:t>，</w:t>
            </w:r>
            <w:r>
              <w:rPr>
                <w:rFonts w:hint="eastAsia"/>
                <w:sz w:val="24"/>
                <w:szCs w:val="24"/>
                <w:highlight w:val="none"/>
                <w:lang w:val="en-US" w:eastAsia="zh-CN"/>
              </w:rPr>
              <w:t>每年政策有变化</w:t>
            </w:r>
          </w:p>
          <w:p w14:paraId="08E02EB5">
            <w:pPr>
              <w:rPr>
                <w:color w:val="000000"/>
                <w:sz w:val="24"/>
                <w:szCs w:val="24"/>
                <w:highlight w:val="none"/>
                <w:shd w:val="clear" w:color="auto" w:fill="FFFFFF"/>
              </w:rPr>
            </w:pPr>
          </w:p>
        </w:tc>
        <w:tc>
          <w:tcPr>
            <w:tcW w:w="1899" w:type="dxa"/>
            <w:noWrap w:val="0"/>
            <w:vAlign w:val="top"/>
          </w:tcPr>
          <w:p w14:paraId="17A745EF">
            <w:pPr>
              <w:rPr>
                <w:color w:val="000000"/>
                <w:sz w:val="24"/>
                <w:szCs w:val="24"/>
                <w:highlight w:val="none"/>
                <w:shd w:val="clear" w:color="auto" w:fill="FFFFFF"/>
              </w:rPr>
            </w:pPr>
          </w:p>
        </w:tc>
      </w:tr>
      <w:tr w14:paraId="4498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3DDC08F8">
            <w:pPr>
              <w:rPr>
                <w:rFonts w:hint="default" w:eastAsia="宋体"/>
                <w:sz w:val="24"/>
                <w:szCs w:val="24"/>
                <w:highlight w:val="none"/>
                <w:lang w:val="en-US" w:eastAsia="zh-CN"/>
              </w:rPr>
            </w:pPr>
            <w:r>
              <w:rPr>
                <w:rFonts w:hint="eastAsia"/>
                <w:sz w:val="24"/>
                <w:szCs w:val="24"/>
                <w:highlight w:val="none"/>
                <w:lang w:val="en-US" w:eastAsia="zh-CN"/>
              </w:rPr>
              <w:t>9</w:t>
            </w:r>
          </w:p>
        </w:tc>
        <w:tc>
          <w:tcPr>
            <w:tcW w:w="2940" w:type="dxa"/>
            <w:noWrap w:val="0"/>
            <w:vAlign w:val="top"/>
          </w:tcPr>
          <w:p w14:paraId="110C8DD1">
            <w:pPr>
              <w:rPr>
                <w:sz w:val="24"/>
                <w:szCs w:val="24"/>
                <w:highlight w:val="none"/>
              </w:rPr>
            </w:pPr>
            <w:r>
              <w:rPr>
                <w:sz w:val="24"/>
                <w:szCs w:val="24"/>
                <w:highlight w:val="none"/>
              </w:rPr>
              <w:t>西澳大学法学院交换项目</w:t>
            </w:r>
          </w:p>
        </w:tc>
        <w:tc>
          <w:tcPr>
            <w:tcW w:w="1482" w:type="dxa"/>
            <w:noWrap w:val="0"/>
            <w:vAlign w:val="top"/>
          </w:tcPr>
          <w:p w14:paraId="11C3B2B5">
            <w:pPr>
              <w:rPr>
                <w:sz w:val="24"/>
                <w:szCs w:val="24"/>
                <w:highlight w:val="none"/>
              </w:rPr>
            </w:pPr>
            <w:r>
              <w:rPr>
                <w:rFonts w:hint="eastAsia"/>
                <w:sz w:val="24"/>
                <w:szCs w:val="24"/>
                <w:highlight w:val="none"/>
              </w:rPr>
              <w:t>每学年至多2个名额，一学期或一学年</w:t>
            </w:r>
          </w:p>
        </w:tc>
        <w:tc>
          <w:tcPr>
            <w:tcW w:w="3076" w:type="dxa"/>
            <w:noWrap w:val="0"/>
            <w:vAlign w:val="top"/>
          </w:tcPr>
          <w:p w14:paraId="0F17E635">
            <w:pPr>
              <w:rPr>
                <w:sz w:val="24"/>
                <w:szCs w:val="24"/>
                <w:highlight w:val="none"/>
              </w:rPr>
            </w:pPr>
            <w:r>
              <w:rPr>
                <w:rFonts w:hint="eastAsia"/>
                <w:sz w:val="24"/>
                <w:szCs w:val="24"/>
                <w:highlight w:val="none"/>
              </w:rPr>
              <w:t>1.光华法学院非毕业班本科生，非毕业班研究生</w:t>
            </w:r>
          </w:p>
          <w:p w14:paraId="59D41E05">
            <w:pPr>
              <w:rPr>
                <w:sz w:val="24"/>
                <w:szCs w:val="24"/>
                <w:highlight w:val="none"/>
              </w:rPr>
            </w:pPr>
            <w:r>
              <w:rPr>
                <w:rFonts w:hint="eastAsia"/>
                <w:sz w:val="24"/>
                <w:szCs w:val="24"/>
                <w:highlight w:val="none"/>
              </w:rPr>
              <w:t>2.两年内有效的托福（90分，写作22分，其他各项20分）或雅思（6.5分，各项6.0分）</w:t>
            </w:r>
          </w:p>
          <w:p w14:paraId="0CCC3634">
            <w:pPr>
              <w:rPr>
                <w:rFonts w:ascii="宋体" w:hAnsi="宋体" w:cs="宋体"/>
                <w:color w:val="000000"/>
                <w:kern w:val="0"/>
                <w:sz w:val="24"/>
                <w:szCs w:val="24"/>
                <w:highlight w:val="none"/>
              </w:rPr>
            </w:pPr>
            <w:r>
              <w:rPr>
                <w:rFonts w:hint="eastAsia"/>
                <w:sz w:val="24"/>
                <w:szCs w:val="24"/>
                <w:highlight w:val="none"/>
              </w:rPr>
              <w:t>3.GPA3.0</w:t>
            </w:r>
          </w:p>
        </w:tc>
        <w:tc>
          <w:tcPr>
            <w:tcW w:w="2610" w:type="dxa"/>
            <w:noWrap w:val="0"/>
            <w:vAlign w:val="top"/>
          </w:tcPr>
          <w:p w14:paraId="475A52B8">
            <w:pPr>
              <w:rPr>
                <w:rFonts w:hint="eastAsia" w:eastAsia="宋体"/>
                <w:sz w:val="24"/>
                <w:szCs w:val="24"/>
                <w:highlight w:val="none"/>
                <w:lang w:val="en-US" w:eastAsia="zh-CN"/>
              </w:rPr>
            </w:pPr>
          </w:p>
        </w:tc>
        <w:tc>
          <w:tcPr>
            <w:tcW w:w="1899" w:type="dxa"/>
            <w:noWrap w:val="0"/>
            <w:vAlign w:val="top"/>
          </w:tcPr>
          <w:p w14:paraId="75B335F6">
            <w:pPr>
              <w:rPr>
                <w:rFonts w:hint="default"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2024年9月30日前需取得语言成绩</w:t>
            </w:r>
          </w:p>
        </w:tc>
      </w:tr>
      <w:tr w14:paraId="0F1A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74EE66D8">
            <w:pPr>
              <w:rPr>
                <w:rFonts w:hint="default" w:eastAsia="宋体"/>
                <w:sz w:val="24"/>
                <w:szCs w:val="24"/>
                <w:highlight w:val="none"/>
                <w:lang w:val="en-US" w:eastAsia="zh-CN"/>
              </w:rPr>
            </w:pPr>
            <w:r>
              <w:rPr>
                <w:rFonts w:hint="eastAsia"/>
                <w:sz w:val="24"/>
                <w:szCs w:val="24"/>
                <w:highlight w:val="none"/>
                <w:lang w:val="en-US" w:eastAsia="zh-CN"/>
              </w:rPr>
              <w:t>10</w:t>
            </w:r>
          </w:p>
        </w:tc>
        <w:tc>
          <w:tcPr>
            <w:tcW w:w="2940" w:type="dxa"/>
            <w:noWrap w:val="0"/>
            <w:vAlign w:val="top"/>
          </w:tcPr>
          <w:p w14:paraId="68EEE121">
            <w:pPr>
              <w:rPr>
                <w:sz w:val="24"/>
                <w:szCs w:val="24"/>
                <w:highlight w:val="none"/>
              </w:rPr>
            </w:pPr>
            <w:r>
              <w:rPr>
                <w:rFonts w:hint="eastAsia"/>
                <w:sz w:val="24"/>
                <w:szCs w:val="24"/>
                <w:highlight w:val="none"/>
              </w:rPr>
              <w:t>香港城市大学法学院交换项目</w:t>
            </w:r>
          </w:p>
        </w:tc>
        <w:tc>
          <w:tcPr>
            <w:tcW w:w="1482" w:type="dxa"/>
            <w:noWrap w:val="0"/>
            <w:vAlign w:val="top"/>
          </w:tcPr>
          <w:p w14:paraId="46881C44">
            <w:pPr>
              <w:rPr>
                <w:sz w:val="24"/>
                <w:szCs w:val="24"/>
                <w:highlight w:val="none"/>
              </w:rPr>
            </w:pPr>
            <w:r>
              <w:rPr>
                <w:rFonts w:hint="eastAsia"/>
                <w:sz w:val="24"/>
                <w:szCs w:val="24"/>
                <w:highlight w:val="none"/>
              </w:rPr>
              <w:t>每学年2名，一学期</w:t>
            </w:r>
          </w:p>
        </w:tc>
        <w:tc>
          <w:tcPr>
            <w:tcW w:w="3076" w:type="dxa"/>
            <w:noWrap w:val="0"/>
            <w:vAlign w:val="top"/>
          </w:tcPr>
          <w:p w14:paraId="7A044FF4">
            <w:pPr>
              <w:rPr>
                <w:rFonts w:hint="eastAsia" w:eastAsia="宋体"/>
                <w:sz w:val="24"/>
                <w:szCs w:val="24"/>
                <w:highlight w:val="none"/>
                <w:lang w:eastAsia="zh-CN"/>
              </w:rPr>
            </w:pPr>
            <w:r>
              <w:rPr>
                <w:rFonts w:hint="eastAsia"/>
                <w:sz w:val="24"/>
                <w:szCs w:val="24"/>
                <w:highlight w:val="none"/>
              </w:rPr>
              <w:t>1.大二及以上本科生（非毕业班），非毕业班</w:t>
            </w:r>
            <w:r>
              <w:rPr>
                <w:rFonts w:hint="eastAsia"/>
                <w:sz w:val="24"/>
                <w:szCs w:val="24"/>
                <w:highlight w:val="none"/>
                <w:lang w:val="en-US" w:eastAsia="zh-CN"/>
              </w:rPr>
              <w:t>研究生</w:t>
            </w:r>
          </w:p>
          <w:p w14:paraId="074DF3C5">
            <w:pPr>
              <w:rPr>
                <w:rFonts w:hint="default" w:eastAsia="宋体"/>
                <w:sz w:val="24"/>
                <w:szCs w:val="24"/>
                <w:highlight w:val="none"/>
                <w:lang w:val="en-US" w:eastAsia="zh-CN"/>
              </w:rPr>
            </w:pPr>
            <w:r>
              <w:rPr>
                <w:rFonts w:hint="eastAsia"/>
                <w:sz w:val="24"/>
                <w:szCs w:val="24"/>
                <w:highlight w:val="none"/>
              </w:rPr>
              <w:t>2.</w:t>
            </w:r>
            <w:r>
              <w:rPr>
                <w:rFonts w:hint="eastAsia"/>
                <w:color w:val="000000"/>
                <w:sz w:val="24"/>
                <w:szCs w:val="24"/>
                <w:highlight w:val="none"/>
                <w:shd w:val="clear" w:color="auto" w:fill="FFFFFF"/>
              </w:rPr>
              <w:t>雅思7分</w:t>
            </w:r>
            <w:r>
              <w:rPr>
                <w:rFonts w:hint="eastAsia"/>
                <w:color w:val="000000"/>
                <w:sz w:val="24"/>
                <w:szCs w:val="24"/>
                <w:highlight w:val="none"/>
                <w:shd w:val="clear" w:color="auto" w:fill="FFFFFF"/>
                <w:lang w:val="en-US" w:eastAsia="zh-CN"/>
              </w:rPr>
              <w:t>或托福600（传统笔试）或托福100（互联网考试）或71（新办纸笔考试）或大学英语六级530</w:t>
            </w:r>
          </w:p>
          <w:p w14:paraId="6DF4D648">
            <w:pPr>
              <w:rPr>
                <w:sz w:val="24"/>
                <w:szCs w:val="24"/>
                <w:highlight w:val="none"/>
              </w:rPr>
            </w:pPr>
            <w:r>
              <w:rPr>
                <w:rFonts w:hint="eastAsia"/>
                <w:sz w:val="24"/>
                <w:szCs w:val="24"/>
                <w:highlight w:val="none"/>
              </w:rPr>
              <w:t>3.</w:t>
            </w:r>
            <w:r>
              <w:rPr>
                <w:rFonts w:hint="eastAsia"/>
                <w:sz w:val="24"/>
                <w:szCs w:val="24"/>
                <w:highlight w:val="none"/>
                <w:lang w:val="en-US" w:eastAsia="zh-CN"/>
              </w:rPr>
              <w:t>学习</w:t>
            </w:r>
            <w:r>
              <w:rPr>
                <w:rFonts w:hint="eastAsia"/>
                <w:sz w:val="24"/>
                <w:szCs w:val="24"/>
                <w:highlight w:val="none"/>
              </w:rPr>
              <w:t>成绩优良</w:t>
            </w:r>
          </w:p>
        </w:tc>
        <w:tc>
          <w:tcPr>
            <w:tcW w:w="2610" w:type="dxa"/>
            <w:noWrap w:val="0"/>
            <w:vAlign w:val="top"/>
          </w:tcPr>
          <w:p w14:paraId="2A75852E">
            <w:pPr>
              <w:rPr>
                <w:sz w:val="24"/>
                <w:szCs w:val="24"/>
                <w:highlight w:val="none"/>
              </w:rPr>
            </w:pPr>
            <w:r>
              <w:rPr>
                <w:rFonts w:hint="eastAsia"/>
                <w:color w:val="000000"/>
                <w:sz w:val="24"/>
                <w:szCs w:val="24"/>
                <w:highlight w:val="none"/>
                <w:shd w:val="clear" w:color="auto" w:fill="FFFFFF"/>
              </w:rPr>
              <w:t>免学费，注册费</w:t>
            </w:r>
            <w:bookmarkStart w:id="1" w:name="OLE_LINK3"/>
            <w:r>
              <w:rPr>
                <w:rFonts w:hint="eastAsia"/>
                <w:color w:val="000000"/>
                <w:sz w:val="24"/>
                <w:szCs w:val="24"/>
                <w:highlight w:val="none"/>
                <w:shd w:val="clear" w:color="auto" w:fill="FFFFFF"/>
              </w:rPr>
              <w:t>、生活费等其他费用自理</w:t>
            </w:r>
            <w:bookmarkEnd w:id="1"/>
            <w:r>
              <w:rPr>
                <w:rFonts w:hint="eastAsia"/>
                <w:sz w:val="24"/>
                <w:szCs w:val="24"/>
                <w:highlight w:val="none"/>
              </w:rPr>
              <w:t>（不对等交换的学生需承担相应学费）</w:t>
            </w:r>
          </w:p>
        </w:tc>
        <w:tc>
          <w:tcPr>
            <w:tcW w:w="1899" w:type="dxa"/>
            <w:noWrap w:val="0"/>
            <w:vAlign w:val="top"/>
          </w:tcPr>
          <w:p w14:paraId="76E6271D">
            <w:pPr>
              <w:rPr>
                <w:color w:val="000000"/>
                <w:sz w:val="24"/>
                <w:szCs w:val="24"/>
                <w:highlight w:val="none"/>
                <w:shd w:val="clear" w:color="auto" w:fill="FFFFFF"/>
              </w:rPr>
            </w:pPr>
            <w:r>
              <w:rPr>
                <w:rFonts w:hint="eastAsia"/>
                <w:color w:val="000000"/>
                <w:sz w:val="24"/>
                <w:szCs w:val="24"/>
                <w:highlight w:val="none"/>
                <w:shd w:val="clear" w:color="auto" w:fill="FFFFFF"/>
                <w:lang w:val="en-US" w:eastAsia="zh-CN"/>
              </w:rPr>
              <w:t>特殊情况交换期可为一学年，一名一学年的交换生相当于两名一学期的交换生</w:t>
            </w:r>
          </w:p>
        </w:tc>
      </w:tr>
      <w:tr w14:paraId="5893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76FD3A63">
            <w:pPr>
              <w:rPr>
                <w:rFonts w:hint="default" w:eastAsia="宋体"/>
                <w:sz w:val="24"/>
                <w:szCs w:val="24"/>
                <w:highlight w:val="none"/>
                <w:lang w:val="en-US" w:eastAsia="zh-CN"/>
              </w:rPr>
            </w:pPr>
            <w:r>
              <w:rPr>
                <w:rFonts w:hint="eastAsia"/>
                <w:sz w:val="24"/>
                <w:szCs w:val="24"/>
                <w:highlight w:val="none"/>
                <w:lang w:val="en-US" w:eastAsia="zh-CN"/>
              </w:rPr>
              <w:t>11</w:t>
            </w:r>
          </w:p>
        </w:tc>
        <w:tc>
          <w:tcPr>
            <w:tcW w:w="2940" w:type="dxa"/>
            <w:noWrap w:val="0"/>
            <w:vAlign w:val="top"/>
          </w:tcPr>
          <w:p w14:paraId="487835D2">
            <w:pPr>
              <w:rPr>
                <w:rFonts w:hint="default" w:eastAsia="宋体"/>
                <w:sz w:val="24"/>
                <w:szCs w:val="24"/>
                <w:highlight w:val="none"/>
                <w:lang w:val="en-US" w:eastAsia="zh-CN"/>
              </w:rPr>
            </w:pPr>
            <w:r>
              <w:rPr>
                <w:rFonts w:hint="eastAsia"/>
                <w:sz w:val="24"/>
                <w:szCs w:val="24"/>
                <w:highlight w:val="none"/>
                <w:lang w:val="en-US" w:eastAsia="zh-CN"/>
              </w:rPr>
              <w:t>香港大学法学院交换项目</w:t>
            </w:r>
          </w:p>
        </w:tc>
        <w:tc>
          <w:tcPr>
            <w:tcW w:w="1482" w:type="dxa"/>
            <w:noWrap w:val="0"/>
            <w:vAlign w:val="top"/>
          </w:tcPr>
          <w:p w14:paraId="4C863FA9">
            <w:pPr>
              <w:rPr>
                <w:rFonts w:hint="eastAsia"/>
                <w:sz w:val="24"/>
                <w:szCs w:val="24"/>
                <w:highlight w:val="none"/>
                <w:lang w:val="en-US" w:eastAsia="zh-CN"/>
              </w:rPr>
            </w:pPr>
            <w:r>
              <w:rPr>
                <w:rFonts w:hint="eastAsia"/>
                <w:sz w:val="24"/>
                <w:szCs w:val="24"/>
                <w:highlight w:val="none"/>
                <w:lang w:val="en-US" w:eastAsia="zh-CN"/>
              </w:rPr>
              <w:t>每学年6名，一学期</w:t>
            </w:r>
          </w:p>
          <w:p w14:paraId="3BDC8AEE">
            <w:pPr>
              <w:rPr>
                <w:rFonts w:hint="default"/>
                <w:sz w:val="24"/>
                <w:szCs w:val="24"/>
                <w:highlight w:val="none"/>
                <w:lang w:val="en-US" w:eastAsia="zh-CN"/>
              </w:rPr>
            </w:pPr>
            <w:r>
              <w:rPr>
                <w:rFonts w:hint="eastAsia"/>
                <w:color w:val="FF0000"/>
                <w:sz w:val="24"/>
                <w:szCs w:val="24"/>
                <w:highlight w:val="none"/>
                <w:lang w:val="en-US" w:eastAsia="zh-CN"/>
              </w:rPr>
              <w:t>春夏学期遴选已结束</w:t>
            </w:r>
            <w:bookmarkStart w:id="7" w:name="_GoBack"/>
            <w:bookmarkEnd w:id="7"/>
          </w:p>
        </w:tc>
        <w:tc>
          <w:tcPr>
            <w:tcW w:w="3076" w:type="dxa"/>
            <w:noWrap w:val="0"/>
            <w:vAlign w:val="top"/>
          </w:tcPr>
          <w:p w14:paraId="613A171B">
            <w:pPr>
              <w:rPr>
                <w:rFonts w:hint="eastAsia" w:eastAsia="宋体"/>
                <w:sz w:val="24"/>
                <w:szCs w:val="24"/>
                <w:highlight w:val="none"/>
                <w:lang w:eastAsia="zh-CN"/>
              </w:rPr>
            </w:pPr>
            <w:r>
              <w:rPr>
                <w:rFonts w:hint="eastAsia"/>
                <w:sz w:val="24"/>
                <w:szCs w:val="24"/>
                <w:highlight w:val="none"/>
              </w:rPr>
              <w:t>1.大二及以上本科生（非毕业班）</w:t>
            </w:r>
          </w:p>
          <w:p w14:paraId="21ACF370">
            <w:pPr>
              <w:rPr>
                <w:rFonts w:hint="default" w:eastAsia="宋体"/>
                <w:sz w:val="24"/>
                <w:szCs w:val="24"/>
                <w:highlight w:val="none"/>
                <w:lang w:val="en-US" w:eastAsia="zh-CN"/>
              </w:rPr>
            </w:pPr>
            <w:r>
              <w:rPr>
                <w:rFonts w:hint="eastAsia"/>
                <w:sz w:val="24"/>
                <w:szCs w:val="24"/>
                <w:highlight w:val="none"/>
              </w:rPr>
              <w:t>2.</w:t>
            </w:r>
            <w:r>
              <w:rPr>
                <w:rFonts w:hint="eastAsia"/>
                <w:color w:val="000000"/>
                <w:sz w:val="24"/>
                <w:szCs w:val="24"/>
                <w:highlight w:val="none"/>
                <w:shd w:val="clear" w:color="auto" w:fill="FFFFFF"/>
              </w:rPr>
              <w:t>雅思7分</w:t>
            </w:r>
            <w:r>
              <w:rPr>
                <w:rFonts w:hint="eastAsia"/>
                <w:color w:val="000000"/>
                <w:sz w:val="24"/>
                <w:szCs w:val="24"/>
                <w:highlight w:val="none"/>
                <w:shd w:val="clear" w:color="auto" w:fill="FFFFFF"/>
                <w:lang w:eastAsia="zh-CN"/>
              </w:rPr>
              <w:t>（</w:t>
            </w:r>
            <w:r>
              <w:rPr>
                <w:rFonts w:hint="eastAsia"/>
                <w:color w:val="000000"/>
                <w:sz w:val="24"/>
                <w:szCs w:val="24"/>
                <w:highlight w:val="none"/>
                <w:shd w:val="clear" w:color="auto" w:fill="FFFFFF"/>
                <w:lang w:val="en-US" w:eastAsia="zh-CN"/>
              </w:rPr>
              <w:t>小分不低于6.5</w:t>
            </w:r>
            <w:r>
              <w:rPr>
                <w:rFonts w:hint="eastAsia"/>
                <w:color w:val="000000"/>
                <w:sz w:val="24"/>
                <w:szCs w:val="24"/>
                <w:highlight w:val="none"/>
                <w:shd w:val="clear" w:color="auto" w:fill="FFFFFF"/>
                <w:lang w:eastAsia="zh-CN"/>
              </w:rPr>
              <w:t>）</w:t>
            </w:r>
            <w:r>
              <w:rPr>
                <w:rFonts w:hint="eastAsia"/>
                <w:color w:val="000000"/>
                <w:sz w:val="24"/>
                <w:szCs w:val="24"/>
                <w:highlight w:val="none"/>
                <w:shd w:val="clear" w:color="auto" w:fill="FFFFFF"/>
                <w:lang w:val="en-US" w:eastAsia="zh-CN"/>
              </w:rPr>
              <w:t>或托福97</w:t>
            </w:r>
          </w:p>
          <w:p w14:paraId="09CBDE06">
            <w:pPr>
              <w:rPr>
                <w:rFonts w:hint="default" w:eastAsia="宋体"/>
                <w:sz w:val="24"/>
                <w:szCs w:val="24"/>
                <w:highlight w:val="none"/>
                <w:lang w:val="en-US" w:eastAsia="zh-CN"/>
              </w:rPr>
            </w:pPr>
            <w:r>
              <w:rPr>
                <w:rFonts w:hint="eastAsia"/>
                <w:sz w:val="24"/>
                <w:szCs w:val="24"/>
                <w:highlight w:val="none"/>
                <w:lang w:val="en-US" w:eastAsia="zh-CN"/>
              </w:rPr>
              <w:t>3. GPA 3.33</w:t>
            </w:r>
          </w:p>
        </w:tc>
        <w:tc>
          <w:tcPr>
            <w:tcW w:w="2610" w:type="dxa"/>
            <w:noWrap w:val="0"/>
            <w:vAlign w:val="top"/>
          </w:tcPr>
          <w:p w14:paraId="262DAE42">
            <w:pPr>
              <w:rPr>
                <w:rFonts w:hint="default"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rPr>
              <w:t>免学费，生活费等其他费用自理</w:t>
            </w:r>
          </w:p>
        </w:tc>
        <w:tc>
          <w:tcPr>
            <w:tcW w:w="1899" w:type="dxa"/>
            <w:noWrap w:val="0"/>
            <w:vAlign w:val="top"/>
          </w:tcPr>
          <w:p w14:paraId="25BF11B5">
            <w:pPr>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特殊情况交换期可为一学年，一名一学年的交换生相当于两名一学期的交换生</w:t>
            </w:r>
          </w:p>
        </w:tc>
      </w:tr>
      <w:tr w14:paraId="21C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37908440">
            <w:pPr>
              <w:rPr>
                <w:rFonts w:hint="default" w:eastAsia="宋体"/>
                <w:sz w:val="24"/>
                <w:szCs w:val="24"/>
                <w:highlight w:val="none"/>
                <w:lang w:val="en-US" w:eastAsia="zh-CN"/>
              </w:rPr>
            </w:pPr>
            <w:r>
              <w:rPr>
                <w:rFonts w:hint="eastAsia" w:eastAsia="宋体"/>
                <w:sz w:val="24"/>
                <w:szCs w:val="24"/>
                <w:highlight w:val="none"/>
                <w:lang w:val="en-US" w:eastAsia="zh-CN"/>
              </w:rPr>
              <w:t>1</w:t>
            </w:r>
            <w:r>
              <w:rPr>
                <w:rFonts w:hint="eastAsia"/>
                <w:sz w:val="24"/>
                <w:szCs w:val="24"/>
                <w:highlight w:val="none"/>
                <w:lang w:val="en-US" w:eastAsia="zh-CN"/>
              </w:rPr>
              <w:t>2</w:t>
            </w:r>
          </w:p>
        </w:tc>
        <w:tc>
          <w:tcPr>
            <w:tcW w:w="2940" w:type="dxa"/>
            <w:noWrap w:val="0"/>
            <w:vAlign w:val="top"/>
          </w:tcPr>
          <w:p w14:paraId="564D3B02">
            <w:pPr>
              <w:rPr>
                <w:rFonts w:hint="default" w:eastAsia="宋体"/>
                <w:sz w:val="24"/>
                <w:szCs w:val="24"/>
                <w:highlight w:val="none"/>
                <w:lang w:val="en-US" w:eastAsia="zh-CN"/>
              </w:rPr>
            </w:pPr>
            <w:r>
              <w:rPr>
                <w:rFonts w:hint="eastAsia"/>
                <w:sz w:val="24"/>
                <w:szCs w:val="24"/>
                <w:highlight w:val="none"/>
                <w:lang w:val="en-US" w:eastAsia="zh-CN"/>
              </w:rPr>
              <w:t>澳门大学法学院交换项目</w:t>
            </w:r>
          </w:p>
        </w:tc>
        <w:tc>
          <w:tcPr>
            <w:tcW w:w="1482" w:type="dxa"/>
            <w:noWrap w:val="0"/>
            <w:vAlign w:val="top"/>
          </w:tcPr>
          <w:p w14:paraId="79638A8B">
            <w:pPr>
              <w:rPr>
                <w:rFonts w:hint="default" w:eastAsia="宋体"/>
                <w:sz w:val="24"/>
                <w:szCs w:val="24"/>
                <w:highlight w:val="none"/>
                <w:lang w:val="en-US" w:eastAsia="zh-CN"/>
              </w:rPr>
            </w:pPr>
            <w:r>
              <w:rPr>
                <w:rFonts w:hint="eastAsia"/>
                <w:sz w:val="24"/>
                <w:szCs w:val="24"/>
                <w:highlight w:val="none"/>
                <w:lang w:val="en-US" w:eastAsia="zh-CN"/>
              </w:rPr>
              <w:t>每学期至多2个名额</w:t>
            </w:r>
          </w:p>
        </w:tc>
        <w:tc>
          <w:tcPr>
            <w:tcW w:w="3076" w:type="dxa"/>
            <w:noWrap w:val="0"/>
            <w:vAlign w:val="top"/>
          </w:tcPr>
          <w:p w14:paraId="7C98FF0D">
            <w:pPr>
              <w:numPr>
                <w:ilvl w:val="0"/>
                <w:numId w:val="2"/>
              </w:numPr>
              <w:rPr>
                <w:rFonts w:hint="eastAsia"/>
                <w:sz w:val="24"/>
                <w:szCs w:val="24"/>
                <w:highlight w:val="none"/>
                <w:lang w:val="en-US" w:eastAsia="zh-CN"/>
              </w:rPr>
            </w:pPr>
            <w:r>
              <w:rPr>
                <w:rFonts w:hint="eastAsia"/>
                <w:sz w:val="24"/>
                <w:szCs w:val="24"/>
                <w:highlight w:val="none"/>
                <w:lang w:val="en-US" w:eastAsia="zh-CN"/>
              </w:rPr>
              <w:t>大二及以上本科生（非毕业班），非毕业班研究生</w:t>
            </w:r>
          </w:p>
          <w:p w14:paraId="21E43C38">
            <w:pPr>
              <w:numPr>
                <w:ilvl w:val="0"/>
                <w:numId w:val="2"/>
              </w:numPr>
              <w:rPr>
                <w:rFonts w:hint="default"/>
                <w:sz w:val="24"/>
                <w:szCs w:val="24"/>
                <w:highlight w:val="none"/>
                <w:lang w:val="en-US" w:eastAsia="zh-CN"/>
              </w:rPr>
            </w:pPr>
            <w:r>
              <w:rPr>
                <w:rFonts w:hint="eastAsia"/>
                <w:sz w:val="24"/>
                <w:szCs w:val="24"/>
                <w:highlight w:val="none"/>
                <w:lang w:val="en-US" w:eastAsia="zh-CN"/>
              </w:rPr>
              <w:t>学习成绩优良</w:t>
            </w:r>
          </w:p>
        </w:tc>
        <w:tc>
          <w:tcPr>
            <w:tcW w:w="2610" w:type="dxa"/>
            <w:noWrap w:val="0"/>
            <w:vAlign w:val="top"/>
          </w:tcPr>
          <w:p w14:paraId="7C10B601">
            <w:pPr>
              <w:rPr>
                <w:rFonts w:hint="eastAsia" w:eastAsia="宋体"/>
                <w:sz w:val="24"/>
                <w:szCs w:val="24"/>
                <w:highlight w:val="none"/>
                <w:lang w:val="en-US" w:eastAsia="zh-CN"/>
              </w:rPr>
            </w:pPr>
            <w:r>
              <w:rPr>
                <w:rFonts w:hint="eastAsia"/>
                <w:color w:val="000000"/>
                <w:sz w:val="24"/>
                <w:szCs w:val="24"/>
                <w:highlight w:val="none"/>
                <w:shd w:val="clear" w:color="auto" w:fill="FFFFFF"/>
              </w:rPr>
              <w:t>按照双方协议，免学费，注册费、生活费等其他费用自理</w:t>
            </w:r>
          </w:p>
        </w:tc>
        <w:tc>
          <w:tcPr>
            <w:tcW w:w="1899" w:type="dxa"/>
            <w:noWrap w:val="0"/>
            <w:vAlign w:val="top"/>
          </w:tcPr>
          <w:p w14:paraId="31DE2261">
            <w:pPr>
              <w:rPr>
                <w:rFonts w:hint="default"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特殊情况交换期可为一学年，一名一学年的交换生相当于两名一学期的交换生</w:t>
            </w:r>
          </w:p>
        </w:tc>
      </w:tr>
      <w:tr w14:paraId="02AA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4A2873CE">
            <w:pPr>
              <w:rPr>
                <w:rFonts w:hint="default" w:eastAsia="宋体"/>
                <w:sz w:val="24"/>
                <w:szCs w:val="24"/>
                <w:highlight w:val="none"/>
                <w:lang w:val="en-US" w:eastAsia="zh-CN"/>
              </w:rPr>
            </w:pPr>
            <w:r>
              <w:rPr>
                <w:rFonts w:hint="eastAsia"/>
                <w:sz w:val="24"/>
                <w:szCs w:val="24"/>
                <w:highlight w:val="none"/>
                <w:lang w:val="en-US" w:eastAsia="zh-CN"/>
              </w:rPr>
              <w:t>13</w:t>
            </w:r>
          </w:p>
        </w:tc>
        <w:tc>
          <w:tcPr>
            <w:tcW w:w="2940" w:type="dxa"/>
            <w:noWrap w:val="0"/>
            <w:vAlign w:val="top"/>
          </w:tcPr>
          <w:p w14:paraId="068CC168">
            <w:pPr>
              <w:rPr>
                <w:rFonts w:hint="default" w:eastAsia="宋体"/>
                <w:sz w:val="24"/>
                <w:szCs w:val="24"/>
                <w:highlight w:val="none"/>
                <w:lang w:val="en-US" w:eastAsia="zh-CN"/>
              </w:rPr>
            </w:pPr>
            <w:r>
              <w:rPr>
                <w:rFonts w:hint="eastAsia"/>
                <w:sz w:val="24"/>
                <w:szCs w:val="24"/>
                <w:highlight w:val="none"/>
                <w:lang w:val="en-US" w:eastAsia="zh-CN"/>
              </w:rPr>
              <w:t>神户大学交换生项目</w:t>
            </w:r>
          </w:p>
        </w:tc>
        <w:tc>
          <w:tcPr>
            <w:tcW w:w="1482" w:type="dxa"/>
            <w:noWrap w:val="0"/>
            <w:vAlign w:val="top"/>
          </w:tcPr>
          <w:p w14:paraId="0B7E3EF9">
            <w:pPr>
              <w:pStyle w:val="6"/>
              <w:keepNext w:val="0"/>
              <w:keepLines w:val="0"/>
              <w:widowControl/>
              <w:suppressLineNumbers w:val="0"/>
              <w:spacing w:before="0" w:beforeAutospacing="0" w:after="0" w:afterAutospacing="0" w:line="21" w:lineRule="atLeast"/>
              <w:ind w:left="0" w:leftChars="0" w:right="0" w:rightChars="0"/>
              <w:jc w:val="left"/>
              <w:rPr>
                <w:sz w:val="24"/>
                <w:szCs w:val="24"/>
                <w:highlight w:val="none"/>
              </w:rPr>
            </w:pPr>
            <w:r>
              <w:rPr>
                <w:rFonts w:hint="eastAsia"/>
                <w:sz w:val="24"/>
                <w:szCs w:val="24"/>
                <w:highlight w:val="none"/>
                <w:lang w:val="en-US" w:eastAsia="zh-CN"/>
              </w:rPr>
              <w:t>每学年3名，原则上留学1年（也可1学期）</w:t>
            </w:r>
          </w:p>
        </w:tc>
        <w:tc>
          <w:tcPr>
            <w:tcW w:w="3076" w:type="dxa"/>
            <w:noWrap w:val="0"/>
            <w:vAlign w:val="top"/>
          </w:tcPr>
          <w:p w14:paraId="2883E73A">
            <w:pPr>
              <w:numPr>
                <w:ilvl w:val="0"/>
                <w:numId w:val="3"/>
              </w:numPr>
              <w:rPr>
                <w:rFonts w:hint="eastAsia"/>
                <w:sz w:val="24"/>
                <w:szCs w:val="24"/>
                <w:highlight w:val="none"/>
                <w:lang w:val="en-US" w:eastAsia="zh-CN"/>
              </w:rPr>
            </w:pPr>
            <w:r>
              <w:rPr>
                <w:rFonts w:hint="eastAsia"/>
                <w:sz w:val="24"/>
                <w:szCs w:val="24"/>
                <w:highlight w:val="none"/>
                <w:lang w:val="en-US" w:eastAsia="zh-CN"/>
              </w:rPr>
              <w:t>大二及以上本科生（非毕业班），非毕业班研究生</w:t>
            </w:r>
          </w:p>
          <w:p w14:paraId="23966319">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r>
              <w:rPr>
                <w:rFonts w:hint="eastAsia"/>
                <w:sz w:val="24"/>
                <w:szCs w:val="24"/>
                <w:highlight w:val="none"/>
                <w:lang w:val="en-US" w:eastAsia="zh-CN"/>
              </w:rPr>
              <w:t>2. 学习成绩优良</w:t>
            </w:r>
          </w:p>
        </w:tc>
        <w:tc>
          <w:tcPr>
            <w:tcW w:w="2610" w:type="dxa"/>
            <w:noWrap w:val="0"/>
            <w:vAlign w:val="top"/>
          </w:tcPr>
          <w:p w14:paraId="7911BE79">
            <w:pPr>
              <w:pStyle w:val="6"/>
              <w:keepNext w:val="0"/>
              <w:keepLines w:val="0"/>
              <w:widowControl/>
              <w:suppressLineNumbers w:val="0"/>
              <w:spacing w:before="0" w:beforeAutospacing="0" w:after="0" w:afterAutospacing="0" w:line="21" w:lineRule="atLeast"/>
              <w:ind w:left="0" w:leftChars="0" w:right="0" w:rightChars="0"/>
              <w:jc w:val="left"/>
              <w:rPr>
                <w:color w:val="000000"/>
                <w:sz w:val="24"/>
                <w:szCs w:val="24"/>
                <w:highlight w:val="none"/>
                <w:shd w:val="clear" w:color="auto" w:fill="FFFFFF"/>
              </w:rPr>
            </w:pPr>
            <w:r>
              <w:rPr>
                <w:rFonts w:hint="eastAsia"/>
                <w:sz w:val="24"/>
                <w:szCs w:val="24"/>
                <w:highlight w:val="none"/>
                <w:lang w:val="en-US" w:eastAsia="zh-CN"/>
              </w:rPr>
              <w:t>免学费，免入学手续费，其他费用自理</w:t>
            </w:r>
          </w:p>
        </w:tc>
        <w:tc>
          <w:tcPr>
            <w:tcW w:w="1899" w:type="dxa"/>
            <w:noWrap w:val="0"/>
            <w:vAlign w:val="top"/>
          </w:tcPr>
          <w:p w14:paraId="7798BC10">
            <w:pPr>
              <w:pStyle w:val="6"/>
              <w:keepNext w:val="0"/>
              <w:keepLines w:val="0"/>
              <w:widowControl/>
              <w:suppressLineNumbers w:val="0"/>
              <w:spacing w:before="0" w:beforeAutospacing="0" w:after="0" w:afterAutospacing="0" w:line="21" w:lineRule="atLeast"/>
              <w:ind w:left="0" w:leftChars="0" w:right="0" w:rightChars="0"/>
              <w:jc w:val="both"/>
              <w:rPr>
                <w:color w:val="000000"/>
                <w:sz w:val="24"/>
                <w:szCs w:val="24"/>
                <w:highlight w:val="none"/>
                <w:shd w:val="clear" w:color="auto" w:fill="FFFFFF"/>
              </w:rPr>
            </w:pPr>
          </w:p>
        </w:tc>
      </w:tr>
      <w:tr w14:paraId="6875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5CBB3257">
            <w:pPr>
              <w:rPr>
                <w:rFonts w:hint="default"/>
                <w:sz w:val="24"/>
                <w:szCs w:val="24"/>
                <w:highlight w:val="none"/>
                <w:lang w:val="en-US" w:eastAsia="zh-CN"/>
              </w:rPr>
            </w:pPr>
            <w:r>
              <w:rPr>
                <w:rFonts w:hint="eastAsia"/>
                <w:sz w:val="24"/>
                <w:szCs w:val="24"/>
                <w:highlight w:val="none"/>
                <w:lang w:val="en-US" w:eastAsia="zh-CN"/>
              </w:rPr>
              <w:t>14</w:t>
            </w:r>
          </w:p>
        </w:tc>
        <w:tc>
          <w:tcPr>
            <w:tcW w:w="2940" w:type="dxa"/>
            <w:noWrap w:val="0"/>
            <w:vAlign w:val="top"/>
          </w:tcPr>
          <w:p w14:paraId="413528D0">
            <w:pPr>
              <w:rPr>
                <w:rFonts w:hint="default"/>
                <w:sz w:val="24"/>
                <w:szCs w:val="24"/>
                <w:highlight w:val="none"/>
                <w:lang w:val="en-US" w:eastAsia="zh-CN"/>
              </w:rPr>
            </w:pPr>
            <w:r>
              <w:rPr>
                <w:rFonts w:hint="eastAsia"/>
                <w:sz w:val="24"/>
                <w:szCs w:val="24"/>
                <w:highlight w:val="none"/>
                <w:lang w:val="en-US" w:eastAsia="zh-CN"/>
              </w:rPr>
              <w:t>九州大学交换生项目</w:t>
            </w:r>
          </w:p>
        </w:tc>
        <w:tc>
          <w:tcPr>
            <w:tcW w:w="1482" w:type="dxa"/>
            <w:noWrap w:val="0"/>
            <w:vAlign w:val="top"/>
          </w:tcPr>
          <w:p w14:paraId="55D02C7D">
            <w:pPr>
              <w:pStyle w:val="6"/>
              <w:keepNext w:val="0"/>
              <w:keepLines w:val="0"/>
              <w:widowControl/>
              <w:suppressLineNumbers w:val="0"/>
              <w:spacing w:before="0" w:beforeAutospacing="0" w:after="0" w:afterAutospacing="0" w:line="21" w:lineRule="atLeast"/>
              <w:ind w:left="0" w:leftChars="0" w:right="0" w:rightChars="0"/>
              <w:jc w:val="left"/>
              <w:rPr>
                <w:rFonts w:hint="eastAsia" w:eastAsia="宋体"/>
                <w:sz w:val="24"/>
                <w:szCs w:val="24"/>
                <w:highlight w:val="none"/>
                <w:lang w:val="en-US" w:eastAsia="zh-CN"/>
              </w:rPr>
            </w:pPr>
            <w:r>
              <w:rPr>
                <w:rFonts w:hint="eastAsia"/>
                <w:sz w:val="24"/>
                <w:szCs w:val="24"/>
                <w:highlight w:val="none"/>
                <w:lang w:val="en-US" w:eastAsia="zh-CN"/>
              </w:rPr>
              <w:t>每学年5名，</w:t>
            </w:r>
            <w:r>
              <w:rPr>
                <w:rFonts w:hint="eastAsia"/>
                <w:szCs w:val="24"/>
                <w:highlight w:val="none"/>
              </w:rPr>
              <w:t>交换期限不得超过1个学年</w:t>
            </w:r>
            <w:r>
              <w:rPr>
                <w:rFonts w:hint="eastAsia"/>
                <w:szCs w:val="24"/>
                <w:highlight w:val="none"/>
                <w:lang w:eastAsia="zh-CN"/>
              </w:rPr>
              <w:t>。</w:t>
            </w:r>
          </w:p>
        </w:tc>
        <w:tc>
          <w:tcPr>
            <w:tcW w:w="3076" w:type="dxa"/>
            <w:noWrap w:val="0"/>
            <w:vAlign w:val="top"/>
          </w:tcPr>
          <w:p w14:paraId="20065F91">
            <w:pPr>
              <w:pStyle w:val="6"/>
              <w:keepNext w:val="0"/>
              <w:keepLines w:val="0"/>
              <w:widowControl/>
              <w:numPr>
                <w:ilvl w:val="0"/>
                <w:numId w:val="4"/>
              </w:numPr>
              <w:suppressLineNumbers w:val="0"/>
              <w:spacing w:before="0" w:beforeAutospacing="0" w:after="0" w:afterAutospacing="0" w:line="21" w:lineRule="atLeast"/>
              <w:ind w:left="0" w:leftChars="0" w:right="0" w:rightChars="0"/>
              <w:jc w:val="left"/>
              <w:rPr>
                <w:rFonts w:hint="eastAsia"/>
                <w:szCs w:val="24"/>
                <w:highlight w:val="none"/>
                <w:lang w:eastAsia="zh-CN"/>
              </w:rPr>
            </w:pPr>
            <w:r>
              <w:rPr>
                <w:rFonts w:hint="eastAsia"/>
                <w:sz w:val="24"/>
                <w:szCs w:val="24"/>
                <w:highlight w:val="none"/>
                <w:lang w:val="en-US" w:eastAsia="zh-CN"/>
              </w:rPr>
              <w:t>非毕业班</w:t>
            </w:r>
            <w:r>
              <w:rPr>
                <w:rFonts w:hint="eastAsia"/>
                <w:szCs w:val="24"/>
                <w:highlight w:val="none"/>
              </w:rPr>
              <w:t>法学学士、本科为法学的法律硕士、法学硕士和博士在读学生</w:t>
            </w:r>
            <w:r>
              <w:rPr>
                <w:rFonts w:hint="eastAsia"/>
                <w:szCs w:val="24"/>
                <w:highlight w:val="none"/>
                <w:lang w:eastAsia="zh-CN"/>
              </w:rPr>
              <w:t>；</w:t>
            </w:r>
          </w:p>
          <w:p w14:paraId="7D90D35B">
            <w:pPr>
              <w:pStyle w:val="6"/>
              <w:keepNext w:val="0"/>
              <w:keepLines w:val="0"/>
              <w:widowControl/>
              <w:numPr>
                <w:ilvl w:val="0"/>
                <w:numId w:val="4"/>
              </w:numPr>
              <w:suppressLineNumbers w:val="0"/>
              <w:spacing w:before="0" w:beforeAutospacing="0" w:after="0" w:afterAutospacing="0" w:line="21" w:lineRule="atLeast"/>
              <w:ind w:left="0" w:leftChars="0" w:right="0" w:rightChars="0"/>
              <w:jc w:val="left"/>
              <w:rPr>
                <w:rFonts w:hint="eastAsia"/>
                <w:szCs w:val="24"/>
                <w:highlight w:val="none"/>
                <w:lang w:val="en-US" w:eastAsia="zh-CN"/>
              </w:rPr>
            </w:pPr>
            <w:r>
              <w:rPr>
                <w:rFonts w:hint="eastAsia"/>
                <w:sz w:val="24"/>
                <w:szCs w:val="24"/>
                <w:highlight w:val="none"/>
              </w:rPr>
              <w:t>成绩优良</w:t>
            </w:r>
          </w:p>
        </w:tc>
        <w:tc>
          <w:tcPr>
            <w:tcW w:w="2610" w:type="dxa"/>
            <w:noWrap w:val="0"/>
            <w:vAlign w:val="top"/>
          </w:tcPr>
          <w:p w14:paraId="4ADB8613">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免学费，</w:t>
            </w:r>
            <w:r>
              <w:rPr>
                <w:rFonts w:hint="eastAsia"/>
                <w:szCs w:val="24"/>
                <w:highlight w:val="none"/>
              </w:rPr>
              <w:t>生活费等其他费用自理</w:t>
            </w:r>
          </w:p>
        </w:tc>
        <w:tc>
          <w:tcPr>
            <w:tcW w:w="1899" w:type="dxa"/>
            <w:noWrap w:val="0"/>
            <w:vAlign w:val="top"/>
          </w:tcPr>
          <w:p w14:paraId="5CE5197B">
            <w:pPr>
              <w:pStyle w:val="6"/>
              <w:keepNext w:val="0"/>
              <w:keepLines w:val="0"/>
              <w:widowControl/>
              <w:suppressLineNumbers w:val="0"/>
              <w:spacing w:before="0" w:beforeAutospacing="0" w:after="0" w:afterAutospacing="0" w:line="21" w:lineRule="atLeast"/>
              <w:ind w:left="0" w:leftChars="0" w:right="0" w:rightChars="0"/>
              <w:jc w:val="both"/>
              <w:rPr>
                <w:color w:val="000000"/>
                <w:sz w:val="24"/>
                <w:szCs w:val="24"/>
                <w:highlight w:val="none"/>
                <w:shd w:val="clear" w:color="auto" w:fill="FFFFFF"/>
              </w:rPr>
            </w:pPr>
          </w:p>
        </w:tc>
      </w:tr>
      <w:tr w14:paraId="5100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0C7755A5">
            <w:pPr>
              <w:rPr>
                <w:rFonts w:hint="default" w:eastAsia="宋体"/>
                <w:sz w:val="24"/>
                <w:szCs w:val="24"/>
                <w:highlight w:val="none"/>
                <w:lang w:val="en-US" w:eastAsia="zh-CN"/>
              </w:rPr>
            </w:pPr>
            <w:r>
              <w:rPr>
                <w:rFonts w:hint="eastAsia"/>
                <w:sz w:val="24"/>
                <w:szCs w:val="24"/>
                <w:highlight w:val="none"/>
                <w:lang w:val="en-US" w:eastAsia="zh-CN"/>
              </w:rPr>
              <w:t>15</w:t>
            </w:r>
          </w:p>
        </w:tc>
        <w:tc>
          <w:tcPr>
            <w:tcW w:w="2940" w:type="dxa"/>
            <w:noWrap w:val="0"/>
            <w:vAlign w:val="top"/>
          </w:tcPr>
          <w:p w14:paraId="184EB6B0">
            <w:pPr>
              <w:rPr>
                <w:sz w:val="24"/>
                <w:szCs w:val="24"/>
                <w:highlight w:val="none"/>
              </w:rPr>
            </w:pPr>
            <w:r>
              <w:rPr>
                <w:rFonts w:hint="eastAsia"/>
                <w:sz w:val="24"/>
                <w:szCs w:val="24"/>
                <w:highlight w:val="none"/>
              </w:rPr>
              <w:t>加州大学戴维斯分校LLM学位项目</w:t>
            </w:r>
          </w:p>
        </w:tc>
        <w:tc>
          <w:tcPr>
            <w:tcW w:w="1482" w:type="dxa"/>
            <w:noWrap w:val="0"/>
            <w:vAlign w:val="top"/>
          </w:tcPr>
          <w:p w14:paraId="722E1043">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rFonts w:ascii="宋体" w:hAnsi="宋体" w:cs="宋体"/>
                <w:color w:val="000000"/>
                <w:kern w:val="0"/>
                <w:sz w:val="24"/>
                <w:szCs w:val="24"/>
                <w:highlight w:val="none"/>
              </w:rPr>
              <w:t>或春季</w:t>
            </w:r>
            <w:r>
              <w:rPr>
                <w:rFonts w:hint="eastAsia" w:ascii="宋体" w:hAnsi="宋体" w:cs="宋体"/>
                <w:color w:val="000000"/>
                <w:kern w:val="0"/>
                <w:sz w:val="24"/>
                <w:szCs w:val="24"/>
                <w:highlight w:val="none"/>
              </w:rPr>
              <w:t>入学，一学年</w:t>
            </w:r>
          </w:p>
        </w:tc>
        <w:tc>
          <w:tcPr>
            <w:tcW w:w="3076" w:type="dxa"/>
            <w:noWrap w:val="0"/>
            <w:vAlign w:val="top"/>
          </w:tcPr>
          <w:p w14:paraId="33766A37">
            <w:pP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1.本科大三、大四学生，本科法学专业研究生，本科非法学专业研三学生及博士研究生；</w:t>
            </w:r>
          </w:p>
          <w:p w14:paraId="4B2FB8D3">
            <w:pP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2.两年内有效的TOEFL（88分以上）或IELTS（6.5以上）成绩；</w:t>
            </w:r>
          </w:p>
          <w:p w14:paraId="31F4FBD8">
            <w:pPr>
              <w:rPr>
                <w:sz w:val="24"/>
                <w:szCs w:val="24"/>
                <w:highlight w:val="none"/>
              </w:rPr>
            </w:pPr>
            <w:r>
              <w:rPr>
                <w:rFonts w:hint="eastAsia" w:ascii="宋体" w:hAnsi="宋体" w:cs="宋体"/>
                <w:color w:val="000000"/>
                <w:kern w:val="0"/>
                <w:sz w:val="24"/>
                <w:szCs w:val="24"/>
                <w:highlight w:val="none"/>
              </w:rPr>
              <w:t>3.学术成绩表现优异，GPA达到3.0以上（GPA4.0为满分标准）</w:t>
            </w:r>
          </w:p>
        </w:tc>
        <w:tc>
          <w:tcPr>
            <w:tcW w:w="2610" w:type="dxa"/>
            <w:noWrap w:val="0"/>
            <w:vAlign w:val="top"/>
          </w:tcPr>
          <w:p w14:paraId="107675E3">
            <w:pPr>
              <w:rPr>
                <w:rFonts w:hint="eastAsia"/>
                <w:sz w:val="24"/>
                <w:szCs w:val="24"/>
                <w:highlight w:val="none"/>
              </w:rPr>
            </w:pPr>
            <w:r>
              <w:rPr>
                <w:rFonts w:hint="eastAsia"/>
                <w:sz w:val="24"/>
                <w:szCs w:val="24"/>
                <w:highlight w:val="none"/>
              </w:rPr>
              <w:t>学费，注册费、生活费等费用自理</w:t>
            </w:r>
            <w:r>
              <w:rPr>
                <w:sz w:val="24"/>
                <w:szCs w:val="24"/>
                <w:highlight w:val="none"/>
              </w:rPr>
              <w:t>；</w:t>
            </w:r>
            <w:r>
              <w:rPr>
                <w:rFonts w:hint="eastAsia"/>
                <w:sz w:val="24"/>
                <w:szCs w:val="24"/>
                <w:highlight w:val="none"/>
              </w:rPr>
              <w:t>可申请奖学金</w:t>
            </w:r>
          </w:p>
          <w:p w14:paraId="02EF5273">
            <w:pPr>
              <w:rPr>
                <w:rFonts w:hint="eastAsia"/>
                <w:sz w:val="24"/>
                <w:szCs w:val="24"/>
                <w:highlight w:val="none"/>
              </w:rPr>
            </w:pPr>
          </w:p>
          <w:p w14:paraId="5FE2455D">
            <w:pPr>
              <w:rPr>
                <w:rFonts w:hint="eastAsia"/>
                <w:sz w:val="24"/>
                <w:szCs w:val="24"/>
                <w:highlight w:val="none"/>
                <w:lang w:val="en-US" w:eastAsia="zh-CN"/>
              </w:rPr>
            </w:pPr>
            <w:r>
              <w:rPr>
                <w:rFonts w:hint="eastAsia"/>
                <w:sz w:val="24"/>
                <w:szCs w:val="24"/>
                <w:highlight w:val="none"/>
                <w:lang w:val="en-US" w:eastAsia="zh-CN"/>
              </w:rPr>
              <w:t>2024年学费：59898美元</w:t>
            </w:r>
          </w:p>
          <w:p w14:paraId="67F89FAD">
            <w:pPr>
              <w:rPr>
                <w:rFonts w:hint="default"/>
                <w:sz w:val="24"/>
                <w:szCs w:val="24"/>
                <w:highlight w:val="none"/>
                <w:lang w:val="en-US" w:eastAsia="zh-CN"/>
              </w:rPr>
            </w:pPr>
          </w:p>
          <w:p w14:paraId="26E75EAF">
            <w:pPr>
              <w:rPr>
                <w:rFonts w:hint="default"/>
                <w:sz w:val="24"/>
                <w:szCs w:val="24"/>
                <w:highlight w:val="none"/>
                <w:lang w:val="en-US" w:eastAsia="zh-CN"/>
              </w:rPr>
            </w:pPr>
          </w:p>
        </w:tc>
        <w:tc>
          <w:tcPr>
            <w:tcW w:w="1899" w:type="dxa"/>
            <w:noWrap w:val="0"/>
            <w:vAlign w:val="top"/>
          </w:tcPr>
          <w:p w14:paraId="4F4E5930">
            <w:pPr>
              <w:rPr>
                <w:color w:val="000000"/>
                <w:sz w:val="24"/>
                <w:szCs w:val="24"/>
                <w:highlight w:val="none"/>
                <w:shd w:val="clear" w:color="auto" w:fill="FFFFFF"/>
              </w:rPr>
            </w:pPr>
          </w:p>
        </w:tc>
      </w:tr>
      <w:tr w14:paraId="188B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5411DA19">
            <w:pPr>
              <w:rPr>
                <w:rFonts w:hint="default" w:eastAsia="宋体"/>
                <w:sz w:val="24"/>
                <w:szCs w:val="24"/>
                <w:highlight w:val="none"/>
                <w:lang w:val="en-US" w:eastAsia="zh-CN"/>
              </w:rPr>
            </w:pPr>
            <w:r>
              <w:rPr>
                <w:rFonts w:hint="eastAsia"/>
                <w:sz w:val="24"/>
                <w:szCs w:val="24"/>
                <w:highlight w:val="none"/>
                <w:lang w:val="en-US" w:eastAsia="zh-CN"/>
              </w:rPr>
              <w:t>16</w:t>
            </w:r>
          </w:p>
        </w:tc>
        <w:tc>
          <w:tcPr>
            <w:tcW w:w="2940" w:type="dxa"/>
            <w:noWrap w:val="0"/>
            <w:vAlign w:val="top"/>
          </w:tcPr>
          <w:p w14:paraId="21FF4BBB">
            <w:pPr>
              <w:rPr>
                <w:rFonts w:hint="default" w:eastAsia="宋体"/>
                <w:sz w:val="24"/>
                <w:szCs w:val="24"/>
                <w:highlight w:val="none"/>
                <w:lang w:val="en-US" w:eastAsia="zh-CN"/>
              </w:rPr>
            </w:pPr>
            <w:r>
              <w:rPr>
                <w:rFonts w:hint="eastAsia"/>
                <w:sz w:val="24"/>
                <w:szCs w:val="24"/>
                <w:highlight w:val="none"/>
                <w:lang w:val="en-US" w:eastAsia="zh-CN"/>
              </w:rPr>
              <w:t>加州大学伯克利分校Global Access Program（BGA）项目</w:t>
            </w:r>
          </w:p>
        </w:tc>
        <w:tc>
          <w:tcPr>
            <w:tcW w:w="1482" w:type="dxa"/>
            <w:noWrap w:val="0"/>
            <w:vAlign w:val="top"/>
          </w:tcPr>
          <w:p w14:paraId="156426D9">
            <w:pPr>
              <w:rPr>
                <w:rFonts w:hint="default" w:ascii="宋体" w:hAnsi="宋体" w:eastAsia="宋体" w:cs="宋体"/>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秋季</w:t>
            </w:r>
            <w:r>
              <w:rPr>
                <w:rFonts w:ascii="宋体" w:hAnsi="宋体" w:cs="宋体"/>
                <w:color w:val="000000"/>
                <w:kern w:val="0"/>
                <w:sz w:val="24"/>
                <w:szCs w:val="24"/>
                <w:highlight w:val="none"/>
              </w:rPr>
              <w:t>或春季</w:t>
            </w:r>
            <w:r>
              <w:rPr>
                <w:rFonts w:hint="eastAsia" w:ascii="宋体" w:hAnsi="宋体" w:cs="宋体"/>
                <w:color w:val="000000"/>
                <w:kern w:val="0"/>
                <w:sz w:val="24"/>
                <w:szCs w:val="24"/>
                <w:highlight w:val="none"/>
              </w:rPr>
              <w:t>入学</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人数不限</w:t>
            </w:r>
          </w:p>
        </w:tc>
        <w:tc>
          <w:tcPr>
            <w:tcW w:w="3076" w:type="dxa"/>
            <w:noWrap w:val="0"/>
            <w:vAlign w:val="top"/>
          </w:tcPr>
          <w:p w14:paraId="5038ADC8">
            <w:pPr>
              <w:numPr>
                <w:ilvl w:val="0"/>
                <w:numId w:val="1"/>
              </w:numP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大二及以上本科生、研究生</w:t>
            </w:r>
          </w:p>
          <w:p w14:paraId="349D6326">
            <w:pPr>
              <w:numPr>
                <w:ilvl w:val="0"/>
                <w:numId w:val="1"/>
              </w:numPr>
              <w:rPr>
                <w:rFonts w:hint="default" w:ascii="宋体" w:hAnsi="宋体" w:cs="宋体"/>
                <w:kern w:val="0"/>
                <w:sz w:val="24"/>
                <w:szCs w:val="24"/>
                <w:highlight w:val="none"/>
                <w:lang w:val="en-US" w:eastAsia="zh-CN"/>
              </w:rPr>
            </w:pPr>
            <w:r>
              <w:rPr>
                <w:rFonts w:hint="eastAsia" w:ascii="宋体" w:hAnsi="宋体" w:cs="宋体"/>
                <w:color w:val="000000"/>
                <w:kern w:val="0"/>
                <w:sz w:val="24"/>
                <w:szCs w:val="24"/>
                <w:highlight w:val="none"/>
              </w:rPr>
              <w:t>学术成绩表现优异，GPA达到3.0以上（GPA4.0为满分标准）</w:t>
            </w:r>
          </w:p>
          <w:p w14:paraId="65279B60">
            <w:pPr>
              <w:numPr>
                <w:ilvl w:val="0"/>
                <w:numId w:val="1"/>
              </w:numPr>
              <w:rPr>
                <w:rFonts w:hint="default" w:ascii="宋体" w:hAnsi="宋体" w:cs="宋体"/>
                <w:kern w:val="0"/>
                <w:sz w:val="24"/>
                <w:szCs w:val="24"/>
                <w:highlight w:val="none"/>
                <w:lang w:val="en-US" w:eastAsia="zh-CN"/>
              </w:rPr>
            </w:pPr>
            <w:r>
              <w:rPr>
                <w:rFonts w:hint="eastAsia" w:ascii="宋体" w:hAnsi="宋体" w:cs="宋体"/>
                <w:color w:val="000000"/>
                <w:kern w:val="0"/>
                <w:sz w:val="24"/>
                <w:szCs w:val="24"/>
                <w:highlight w:val="none"/>
                <w:lang w:val="en-US" w:eastAsia="zh-CN"/>
              </w:rPr>
              <w:t>托福90或雅思7或DAAD-C1或Cambridge C1 advanced或Duolingo 115</w:t>
            </w:r>
          </w:p>
        </w:tc>
        <w:tc>
          <w:tcPr>
            <w:tcW w:w="2610" w:type="dxa"/>
            <w:noWrap w:val="0"/>
            <w:vAlign w:val="top"/>
          </w:tcPr>
          <w:p w14:paraId="0F39DF4A">
            <w:pPr>
              <w:rPr>
                <w:rFonts w:hint="eastAsia"/>
                <w:sz w:val="24"/>
                <w:szCs w:val="24"/>
                <w:highlight w:val="none"/>
              </w:rPr>
            </w:pPr>
          </w:p>
        </w:tc>
        <w:tc>
          <w:tcPr>
            <w:tcW w:w="1899" w:type="dxa"/>
            <w:noWrap w:val="0"/>
            <w:vAlign w:val="top"/>
          </w:tcPr>
          <w:p w14:paraId="3FB9DC61">
            <w:pPr>
              <w:rPr>
                <w:rFonts w:hint="default"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2024年10月15日前需取得语言成绩</w:t>
            </w:r>
          </w:p>
        </w:tc>
      </w:tr>
      <w:tr w14:paraId="1AF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4736E4B0">
            <w:pPr>
              <w:rPr>
                <w:rFonts w:hint="default" w:eastAsia="宋体"/>
                <w:sz w:val="24"/>
                <w:szCs w:val="24"/>
                <w:highlight w:val="none"/>
                <w:lang w:val="en-US" w:eastAsia="zh-CN"/>
              </w:rPr>
            </w:pPr>
            <w:r>
              <w:rPr>
                <w:rFonts w:hint="eastAsia"/>
                <w:sz w:val="24"/>
                <w:szCs w:val="24"/>
                <w:highlight w:val="none"/>
                <w:lang w:val="en-US" w:eastAsia="zh-CN"/>
              </w:rPr>
              <w:t>17</w:t>
            </w:r>
          </w:p>
        </w:tc>
        <w:tc>
          <w:tcPr>
            <w:tcW w:w="2940" w:type="dxa"/>
            <w:noWrap w:val="0"/>
            <w:vAlign w:val="top"/>
          </w:tcPr>
          <w:p w14:paraId="74D08924">
            <w:pPr>
              <w:rPr>
                <w:sz w:val="24"/>
                <w:szCs w:val="24"/>
                <w:highlight w:val="none"/>
              </w:rPr>
            </w:pPr>
            <w:r>
              <w:rPr>
                <w:rFonts w:hint="eastAsia"/>
                <w:sz w:val="24"/>
                <w:szCs w:val="24"/>
                <w:highlight w:val="none"/>
              </w:rPr>
              <w:t>澳大利亚邦德大学学位项目</w:t>
            </w:r>
          </w:p>
        </w:tc>
        <w:tc>
          <w:tcPr>
            <w:tcW w:w="1482" w:type="dxa"/>
            <w:noWrap w:val="0"/>
            <w:vAlign w:val="top"/>
          </w:tcPr>
          <w:p w14:paraId="51CF91D3">
            <w:pPr>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rFonts w:hint="eastAsia" w:ascii="宋体" w:hAnsi="宋体" w:cs="宋体"/>
                <w:kern w:val="0"/>
                <w:sz w:val="24"/>
                <w:szCs w:val="24"/>
                <w:highlight w:val="none"/>
              </w:rPr>
              <w:t>或春季入学</w:t>
            </w:r>
          </w:p>
        </w:tc>
        <w:tc>
          <w:tcPr>
            <w:tcW w:w="3076" w:type="dxa"/>
            <w:noWrap w:val="0"/>
            <w:vAlign w:val="top"/>
          </w:tcPr>
          <w:p w14:paraId="50EF2911">
            <w:pPr>
              <w:rPr>
                <w:rFonts w:ascii="宋体" w:hAnsi="宋体" w:cs="宋体"/>
                <w:kern w:val="0"/>
                <w:sz w:val="24"/>
                <w:szCs w:val="24"/>
                <w:highlight w:val="none"/>
              </w:rPr>
            </w:pPr>
            <w:r>
              <w:rPr>
                <w:rFonts w:hint="eastAsia" w:ascii="宋体" w:hAnsi="宋体" w:cs="宋体"/>
                <w:kern w:val="0"/>
                <w:sz w:val="24"/>
                <w:szCs w:val="24"/>
                <w:highlight w:val="none"/>
              </w:rPr>
              <w:t>1.本科大四学生、硕士研究生及博士研究生；</w:t>
            </w:r>
          </w:p>
          <w:p w14:paraId="454E031A">
            <w:pPr>
              <w:rPr>
                <w:rFonts w:ascii="宋体" w:hAnsi="宋体" w:cs="宋体"/>
                <w:kern w:val="0"/>
                <w:sz w:val="24"/>
                <w:szCs w:val="24"/>
                <w:highlight w:val="none"/>
              </w:rPr>
            </w:pPr>
            <w:r>
              <w:rPr>
                <w:rFonts w:hint="eastAsia" w:ascii="宋体" w:hAnsi="宋体" w:cs="宋体"/>
                <w:kern w:val="0"/>
                <w:sz w:val="24"/>
                <w:szCs w:val="24"/>
                <w:highlight w:val="none"/>
              </w:rPr>
              <w:t>2.两年内有效的TOEFL(79分以上)或IELTS（6.5分，单项6）或PTE 58；</w:t>
            </w:r>
          </w:p>
          <w:p w14:paraId="71988CCC">
            <w:pPr>
              <w:rPr>
                <w:sz w:val="24"/>
                <w:szCs w:val="24"/>
                <w:highlight w:val="none"/>
              </w:rPr>
            </w:pPr>
            <w:r>
              <w:rPr>
                <w:rFonts w:hint="eastAsia" w:ascii="宋体" w:hAnsi="宋体" w:cs="宋体"/>
                <w:kern w:val="0"/>
                <w:sz w:val="24"/>
                <w:szCs w:val="24"/>
                <w:highlight w:val="none"/>
              </w:rPr>
              <w:t>3.学习成绩优良</w:t>
            </w:r>
          </w:p>
        </w:tc>
        <w:tc>
          <w:tcPr>
            <w:tcW w:w="2610" w:type="dxa"/>
            <w:noWrap w:val="0"/>
            <w:vAlign w:val="top"/>
          </w:tcPr>
          <w:p w14:paraId="5F7FDEBA">
            <w:pPr>
              <w:rPr>
                <w:sz w:val="24"/>
                <w:szCs w:val="24"/>
                <w:highlight w:val="none"/>
              </w:rPr>
            </w:pPr>
            <w:r>
              <w:rPr>
                <w:rFonts w:hint="eastAsia"/>
                <w:sz w:val="24"/>
                <w:szCs w:val="24"/>
                <w:highlight w:val="none"/>
              </w:rPr>
              <w:t>学费，注册费、生活费等费用自理；可申请奖学金（减免25%学费）</w:t>
            </w:r>
          </w:p>
        </w:tc>
        <w:tc>
          <w:tcPr>
            <w:tcW w:w="1899" w:type="dxa"/>
            <w:noWrap w:val="0"/>
            <w:vAlign w:val="top"/>
          </w:tcPr>
          <w:p w14:paraId="2EF45B39">
            <w:pPr>
              <w:rPr>
                <w:rFonts w:hint="eastAsia"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协议到期，学院可协助推荐</w:t>
            </w:r>
          </w:p>
        </w:tc>
      </w:tr>
      <w:tr w14:paraId="5AA1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364FB9A3">
            <w:pPr>
              <w:rPr>
                <w:rFonts w:hint="default" w:eastAsia="宋体"/>
                <w:sz w:val="24"/>
                <w:szCs w:val="24"/>
                <w:highlight w:val="none"/>
                <w:lang w:val="en-US" w:eastAsia="zh-CN"/>
              </w:rPr>
            </w:pPr>
            <w:r>
              <w:rPr>
                <w:rFonts w:hint="eastAsia"/>
                <w:sz w:val="24"/>
                <w:szCs w:val="24"/>
                <w:highlight w:val="none"/>
                <w:lang w:val="en-US" w:eastAsia="zh-CN"/>
              </w:rPr>
              <w:t>18</w:t>
            </w:r>
          </w:p>
        </w:tc>
        <w:tc>
          <w:tcPr>
            <w:tcW w:w="2940" w:type="dxa"/>
            <w:noWrap w:val="0"/>
            <w:vAlign w:val="top"/>
          </w:tcPr>
          <w:p w14:paraId="0D03A942">
            <w:pPr>
              <w:rPr>
                <w:sz w:val="24"/>
                <w:szCs w:val="24"/>
                <w:highlight w:val="none"/>
              </w:rPr>
            </w:pPr>
            <w:r>
              <w:rPr>
                <w:rFonts w:hint="eastAsia"/>
                <w:sz w:val="24"/>
                <w:szCs w:val="24"/>
                <w:highlight w:val="none"/>
              </w:rPr>
              <w:t>美国伊州理工学院芝加哥肯特法学院L</w:t>
            </w:r>
            <w:r>
              <w:rPr>
                <w:sz w:val="24"/>
                <w:szCs w:val="24"/>
                <w:highlight w:val="none"/>
              </w:rPr>
              <w:t>LM</w:t>
            </w:r>
            <w:r>
              <w:rPr>
                <w:rFonts w:hint="eastAsia"/>
                <w:sz w:val="24"/>
                <w:szCs w:val="24"/>
                <w:highlight w:val="none"/>
              </w:rPr>
              <w:t>学位项目</w:t>
            </w:r>
          </w:p>
        </w:tc>
        <w:tc>
          <w:tcPr>
            <w:tcW w:w="1482" w:type="dxa"/>
            <w:noWrap w:val="0"/>
            <w:vAlign w:val="top"/>
          </w:tcPr>
          <w:p w14:paraId="3543BF64">
            <w:pPr>
              <w:jc w:val="left"/>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rFonts w:hint="eastAsia"/>
                <w:sz w:val="24"/>
                <w:szCs w:val="24"/>
                <w:highlight w:val="none"/>
              </w:rPr>
              <w:t>入学</w:t>
            </w:r>
          </w:p>
          <w:p w14:paraId="7A32D9DA">
            <w:pPr>
              <w:jc w:val="left"/>
              <w:rPr>
                <w:sz w:val="24"/>
                <w:szCs w:val="24"/>
                <w:highlight w:val="none"/>
              </w:rPr>
            </w:pPr>
            <w:r>
              <w:rPr>
                <w:rFonts w:hint="eastAsia"/>
                <w:sz w:val="24"/>
                <w:szCs w:val="24"/>
                <w:highlight w:val="none"/>
              </w:rPr>
              <w:t>一学年</w:t>
            </w:r>
          </w:p>
        </w:tc>
        <w:tc>
          <w:tcPr>
            <w:tcW w:w="3076" w:type="dxa"/>
            <w:noWrap w:val="0"/>
            <w:vAlign w:val="top"/>
          </w:tcPr>
          <w:p w14:paraId="694DFAEA">
            <w:pPr>
              <w:rPr>
                <w:rFonts w:ascii="宋体" w:hAnsi="宋体" w:cs="宋体"/>
                <w:color w:val="000000"/>
                <w:kern w:val="0"/>
                <w:sz w:val="24"/>
                <w:szCs w:val="24"/>
                <w:highlight w:val="none"/>
              </w:rPr>
            </w:pPr>
            <w:r>
              <w:rPr>
                <w:rFonts w:hint="eastAsia"/>
                <w:sz w:val="24"/>
                <w:szCs w:val="24"/>
                <w:highlight w:val="none"/>
              </w:rPr>
              <w:t>1，本科大四学生</w:t>
            </w:r>
            <w:r>
              <w:rPr>
                <w:sz w:val="24"/>
                <w:szCs w:val="24"/>
                <w:highlight w:val="none"/>
              </w:rPr>
              <w:t>，</w:t>
            </w:r>
            <w:r>
              <w:rPr>
                <w:rFonts w:hint="eastAsia" w:ascii="宋体" w:hAnsi="宋体" w:cs="宋体"/>
                <w:color w:val="000000"/>
                <w:kern w:val="0"/>
                <w:sz w:val="24"/>
                <w:szCs w:val="24"/>
                <w:highlight w:val="none"/>
              </w:rPr>
              <w:t>本科法学专业研究生，本科非法学专业研二</w:t>
            </w:r>
            <w:r>
              <w:rPr>
                <w:rFonts w:ascii="宋体" w:hAnsi="宋体" w:cs="宋体"/>
                <w:color w:val="000000"/>
                <w:kern w:val="0"/>
                <w:sz w:val="24"/>
                <w:szCs w:val="24"/>
                <w:highlight w:val="none"/>
              </w:rPr>
              <w:t>、</w:t>
            </w:r>
            <w:r>
              <w:rPr>
                <w:rFonts w:hint="eastAsia" w:ascii="宋体" w:hAnsi="宋体" w:cs="宋体"/>
                <w:color w:val="000000"/>
                <w:kern w:val="0"/>
                <w:sz w:val="24"/>
                <w:szCs w:val="24"/>
                <w:highlight w:val="none"/>
              </w:rPr>
              <w:t>研三学生及博士研究生</w:t>
            </w:r>
          </w:p>
          <w:p w14:paraId="3F203366">
            <w:pPr>
              <w:rPr>
                <w:rFonts w:ascii="宋体" w:hAnsi="宋体" w:cs="宋体"/>
                <w:kern w:val="0"/>
                <w:sz w:val="24"/>
                <w:szCs w:val="24"/>
                <w:highlight w:val="none"/>
              </w:rPr>
            </w:pPr>
            <w:r>
              <w:rPr>
                <w:rFonts w:hint="eastAsia" w:ascii="宋体" w:hAnsi="宋体" w:cs="宋体"/>
                <w:kern w:val="0"/>
                <w:sz w:val="24"/>
                <w:szCs w:val="24"/>
                <w:highlight w:val="none"/>
              </w:rPr>
              <w:t>2.两年内有效的TOEFL100分及以上IELTS 7分及以上</w:t>
            </w:r>
          </w:p>
          <w:p w14:paraId="5E5BC1CF">
            <w:pPr>
              <w:rPr>
                <w:sz w:val="24"/>
                <w:szCs w:val="24"/>
                <w:highlight w:val="none"/>
              </w:rPr>
            </w:pPr>
            <w:r>
              <w:rPr>
                <w:rFonts w:hint="eastAsia" w:ascii="宋体" w:hAnsi="宋体" w:cs="宋体"/>
                <w:kern w:val="0"/>
                <w:sz w:val="24"/>
                <w:szCs w:val="24"/>
                <w:highlight w:val="none"/>
              </w:rPr>
              <w:t>3.学习成绩优良</w:t>
            </w:r>
          </w:p>
        </w:tc>
        <w:tc>
          <w:tcPr>
            <w:tcW w:w="2610" w:type="dxa"/>
            <w:noWrap w:val="0"/>
            <w:vAlign w:val="top"/>
          </w:tcPr>
          <w:p w14:paraId="018CAA70">
            <w:pPr>
              <w:rPr>
                <w:sz w:val="24"/>
                <w:szCs w:val="24"/>
                <w:highlight w:val="none"/>
              </w:rPr>
            </w:pPr>
            <w:r>
              <w:rPr>
                <w:rFonts w:hint="eastAsia"/>
                <w:color w:val="000000"/>
                <w:sz w:val="24"/>
                <w:szCs w:val="24"/>
                <w:highlight w:val="none"/>
                <w:shd w:val="clear" w:color="auto" w:fill="FFFFFF"/>
              </w:rPr>
              <w:t>学费、注册费、生活费等其他费用自理</w:t>
            </w:r>
            <w:r>
              <w:rPr>
                <w:color w:val="000000"/>
                <w:sz w:val="24"/>
                <w:szCs w:val="24"/>
                <w:highlight w:val="none"/>
                <w:shd w:val="clear" w:color="auto" w:fill="FFFFFF"/>
              </w:rPr>
              <w:t>；学费减免25%。</w:t>
            </w:r>
          </w:p>
          <w:p w14:paraId="4814FBA3">
            <w:pPr>
              <w:rPr>
                <w:sz w:val="24"/>
                <w:szCs w:val="24"/>
                <w:highlight w:val="none"/>
              </w:rPr>
            </w:pPr>
            <w:r>
              <w:rPr>
                <w:rFonts w:hint="eastAsia"/>
                <w:sz w:val="24"/>
                <w:szCs w:val="24"/>
                <w:highlight w:val="none"/>
              </w:rPr>
              <w:t>语言成绩不满足要求，可以进修语言班</w:t>
            </w:r>
          </w:p>
        </w:tc>
        <w:tc>
          <w:tcPr>
            <w:tcW w:w="1899" w:type="dxa"/>
            <w:noWrap w:val="0"/>
            <w:vAlign w:val="top"/>
          </w:tcPr>
          <w:p w14:paraId="45ECD44C">
            <w:pPr>
              <w:rPr>
                <w:color w:val="000000"/>
                <w:sz w:val="24"/>
                <w:szCs w:val="24"/>
                <w:highlight w:val="none"/>
                <w:shd w:val="clear" w:color="auto" w:fill="FFFFFF"/>
              </w:rPr>
            </w:pPr>
            <w:r>
              <w:rPr>
                <w:rFonts w:hint="eastAsia"/>
                <w:color w:val="000000"/>
                <w:sz w:val="24"/>
                <w:szCs w:val="24"/>
                <w:highlight w:val="none"/>
                <w:shd w:val="clear" w:color="auto" w:fill="FFFFFF"/>
                <w:lang w:val="en-US" w:eastAsia="zh-CN"/>
              </w:rPr>
              <w:t>协议到期，学院可协助推荐</w:t>
            </w:r>
          </w:p>
        </w:tc>
      </w:tr>
      <w:tr w14:paraId="53C1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14:paraId="66079CAA">
            <w:pPr>
              <w:rPr>
                <w:rFonts w:hint="default" w:eastAsia="宋体"/>
                <w:sz w:val="24"/>
                <w:szCs w:val="24"/>
                <w:highlight w:val="none"/>
                <w:lang w:val="en-US" w:eastAsia="zh-CN"/>
              </w:rPr>
            </w:pPr>
            <w:r>
              <w:rPr>
                <w:rFonts w:hint="eastAsia"/>
                <w:sz w:val="24"/>
                <w:szCs w:val="24"/>
                <w:highlight w:val="none"/>
                <w:lang w:val="en-US" w:eastAsia="zh-CN"/>
              </w:rPr>
              <w:t>19</w:t>
            </w:r>
          </w:p>
        </w:tc>
        <w:tc>
          <w:tcPr>
            <w:tcW w:w="2940" w:type="dxa"/>
            <w:noWrap w:val="0"/>
            <w:vAlign w:val="top"/>
          </w:tcPr>
          <w:p w14:paraId="5AB1B20A">
            <w:pPr>
              <w:rPr>
                <w:sz w:val="24"/>
                <w:szCs w:val="24"/>
                <w:highlight w:val="none"/>
              </w:rPr>
            </w:pPr>
            <w:r>
              <w:rPr>
                <w:rFonts w:hint="eastAsia"/>
                <w:sz w:val="24"/>
                <w:szCs w:val="24"/>
                <w:highlight w:val="none"/>
              </w:rPr>
              <w:t>美国伊州理工学院芝加哥肯特法学院</w:t>
            </w:r>
            <w:r>
              <w:rPr>
                <w:sz w:val="24"/>
                <w:szCs w:val="24"/>
                <w:highlight w:val="none"/>
              </w:rPr>
              <w:t>IPMM</w:t>
            </w:r>
            <w:r>
              <w:rPr>
                <w:rFonts w:hint="eastAsia"/>
                <w:sz w:val="24"/>
                <w:szCs w:val="24"/>
                <w:highlight w:val="none"/>
              </w:rPr>
              <w:t>学位项目</w:t>
            </w:r>
          </w:p>
        </w:tc>
        <w:tc>
          <w:tcPr>
            <w:tcW w:w="1482" w:type="dxa"/>
            <w:noWrap w:val="0"/>
            <w:vAlign w:val="top"/>
          </w:tcPr>
          <w:p w14:paraId="62344C82">
            <w:pPr>
              <w:jc w:val="left"/>
              <w:rPr>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秋季</w:t>
            </w:r>
            <w:r>
              <w:rPr>
                <w:rFonts w:hint="eastAsia"/>
                <w:sz w:val="24"/>
                <w:szCs w:val="24"/>
                <w:highlight w:val="none"/>
              </w:rPr>
              <w:t>入学一学年</w:t>
            </w:r>
          </w:p>
        </w:tc>
        <w:tc>
          <w:tcPr>
            <w:tcW w:w="3076" w:type="dxa"/>
            <w:noWrap w:val="0"/>
            <w:vAlign w:val="top"/>
          </w:tcPr>
          <w:p w14:paraId="33264833">
            <w:pPr>
              <w:numPr>
                <w:ilvl w:val="0"/>
                <w:numId w:val="5"/>
              </w:numPr>
              <w:rPr>
                <w:rFonts w:ascii="宋体" w:hAnsi="宋体" w:cs="宋体"/>
                <w:kern w:val="0"/>
                <w:sz w:val="24"/>
                <w:szCs w:val="24"/>
                <w:highlight w:val="none"/>
              </w:rPr>
            </w:pPr>
            <w:r>
              <w:rPr>
                <w:rFonts w:hint="eastAsia" w:ascii="宋体" w:hAnsi="宋体" w:cs="宋体"/>
                <w:kern w:val="0"/>
                <w:sz w:val="24"/>
                <w:szCs w:val="24"/>
                <w:highlight w:val="none"/>
              </w:rPr>
              <w:t>本科大四学生、硕士研究生及博士研究生；</w:t>
            </w:r>
          </w:p>
          <w:p w14:paraId="051D0F5D">
            <w:pPr>
              <w:numPr>
                <w:ilvl w:val="0"/>
                <w:numId w:val="5"/>
              </w:numPr>
              <w:rPr>
                <w:sz w:val="24"/>
                <w:szCs w:val="24"/>
                <w:highlight w:val="none"/>
              </w:rPr>
            </w:pPr>
            <w:r>
              <w:rPr>
                <w:rFonts w:ascii="宋体" w:hAnsi="宋体" w:cs="宋体"/>
                <w:kern w:val="0"/>
                <w:sz w:val="24"/>
                <w:szCs w:val="24"/>
                <w:highlight w:val="none"/>
              </w:rPr>
              <w:t>语言要求接近TOEFL100分及以上IELTS 7分及以上，但可提供可证明英语水平的材料来</w:t>
            </w:r>
            <w:r>
              <w:rPr>
                <w:rFonts w:hint="eastAsia" w:ascii="宋体" w:hAnsi="宋体" w:cs="宋体"/>
                <w:kern w:val="0"/>
                <w:sz w:val="24"/>
                <w:szCs w:val="24"/>
                <w:highlight w:val="none"/>
              </w:rPr>
              <w:t>免除具体托福雅思成绩要求</w:t>
            </w:r>
          </w:p>
        </w:tc>
        <w:tc>
          <w:tcPr>
            <w:tcW w:w="2610" w:type="dxa"/>
            <w:noWrap w:val="0"/>
            <w:vAlign w:val="top"/>
          </w:tcPr>
          <w:p w14:paraId="591BC81F">
            <w:pPr>
              <w:rPr>
                <w:sz w:val="24"/>
                <w:szCs w:val="24"/>
                <w:highlight w:val="none"/>
              </w:rPr>
            </w:pPr>
            <w:r>
              <w:rPr>
                <w:rFonts w:hint="eastAsia"/>
                <w:color w:val="000000"/>
                <w:sz w:val="24"/>
                <w:szCs w:val="24"/>
                <w:highlight w:val="none"/>
                <w:shd w:val="clear" w:color="auto" w:fill="FFFFFF"/>
              </w:rPr>
              <w:t>学费、注册费、生活费等其他费用自理</w:t>
            </w:r>
            <w:r>
              <w:rPr>
                <w:color w:val="000000"/>
                <w:sz w:val="24"/>
                <w:szCs w:val="24"/>
                <w:highlight w:val="none"/>
                <w:shd w:val="clear" w:color="auto" w:fill="FFFFFF"/>
              </w:rPr>
              <w:t>；学费减免50%。</w:t>
            </w:r>
          </w:p>
        </w:tc>
        <w:tc>
          <w:tcPr>
            <w:tcW w:w="1899" w:type="dxa"/>
            <w:noWrap w:val="0"/>
            <w:vAlign w:val="top"/>
          </w:tcPr>
          <w:p w14:paraId="26854021">
            <w:pPr>
              <w:rPr>
                <w:sz w:val="24"/>
                <w:szCs w:val="24"/>
                <w:highlight w:val="none"/>
              </w:rPr>
            </w:pPr>
            <w:r>
              <w:rPr>
                <w:rFonts w:hint="eastAsia"/>
                <w:color w:val="000000"/>
                <w:sz w:val="24"/>
                <w:szCs w:val="24"/>
                <w:highlight w:val="none"/>
                <w:shd w:val="clear" w:color="auto" w:fill="FFFFFF"/>
                <w:lang w:val="en-US" w:eastAsia="zh-CN"/>
              </w:rPr>
              <w:t>协议到期，学院可协助推荐</w:t>
            </w:r>
          </w:p>
        </w:tc>
      </w:tr>
      <w:tr w14:paraId="6A94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115" w:type="dxa"/>
            <w:noWrap w:val="0"/>
            <w:vAlign w:val="top"/>
          </w:tcPr>
          <w:p w14:paraId="7E8822FF">
            <w:pPr>
              <w:rPr>
                <w:rFonts w:hint="default" w:eastAsia="宋体"/>
                <w:sz w:val="21"/>
                <w:szCs w:val="21"/>
                <w:highlight w:val="none"/>
                <w:lang w:val="en-US" w:eastAsia="zh-CN"/>
              </w:rPr>
            </w:pPr>
            <w:r>
              <w:rPr>
                <w:rFonts w:hint="eastAsia"/>
                <w:sz w:val="21"/>
                <w:szCs w:val="21"/>
                <w:highlight w:val="none"/>
                <w:lang w:val="en-US" w:eastAsia="zh-CN"/>
              </w:rPr>
              <w:t>20</w:t>
            </w:r>
          </w:p>
        </w:tc>
        <w:tc>
          <w:tcPr>
            <w:tcW w:w="2940" w:type="dxa"/>
            <w:noWrap w:val="0"/>
            <w:vAlign w:val="top"/>
          </w:tcPr>
          <w:p w14:paraId="545A323D">
            <w:pP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德国法兰克福歌德大学法律与金融学院全英语国际金融法学硕士项目</w:t>
            </w:r>
          </w:p>
          <w:p w14:paraId="53ED06C8">
            <w:pPr>
              <w:rPr>
                <w:sz w:val="21"/>
                <w:szCs w:val="21"/>
                <w:highlight w:val="none"/>
              </w:rPr>
            </w:pPr>
          </w:p>
        </w:tc>
        <w:tc>
          <w:tcPr>
            <w:tcW w:w="1482" w:type="dxa"/>
            <w:noWrap w:val="0"/>
            <w:vAlign w:val="top"/>
          </w:tcPr>
          <w:p w14:paraId="1CE6B39C">
            <w:pPr>
              <w:jc w:val="left"/>
              <w:rPr>
                <w:sz w:val="21"/>
                <w:szCs w:val="21"/>
                <w:highlight w:val="none"/>
              </w:rPr>
            </w:pPr>
            <w:r>
              <w:rPr>
                <w:rFonts w:hint="eastAsia" w:ascii="Times New Roman" w:hAnsi="Times New Roman" w:eastAsia="宋体" w:cs="Times New Roman"/>
                <w:color w:val="auto"/>
                <w:kern w:val="0"/>
                <w:sz w:val="24"/>
                <w:szCs w:val="24"/>
                <w:highlight w:val="none"/>
                <w:lang w:val="en-US" w:eastAsia="zh-CN" w:bidi="ar"/>
              </w:rPr>
              <w:t>秋学期</w:t>
            </w:r>
            <w:r>
              <w:rPr>
                <w:rFonts w:hint="eastAsia"/>
                <w:sz w:val="21"/>
                <w:szCs w:val="21"/>
                <w:highlight w:val="none"/>
                <w:lang w:val="en-US" w:eastAsia="zh-CN"/>
              </w:rPr>
              <w:t>派出</w:t>
            </w:r>
          </w:p>
        </w:tc>
        <w:tc>
          <w:tcPr>
            <w:tcW w:w="3076" w:type="dxa"/>
            <w:noWrap w:val="0"/>
            <w:vAlign w:val="top"/>
          </w:tcPr>
          <w:p w14:paraId="2E9E81B9">
            <w:pPr>
              <w:rPr>
                <w:rFonts w:hint="eastAsia"/>
                <w:sz w:val="21"/>
                <w:szCs w:val="21"/>
                <w:highlight w:val="none"/>
              </w:rPr>
            </w:pPr>
            <w:r>
              <w:rPr>
                <w:rFonts w:hint="eastAsia"/>
                <w:sz w:val="21"/>
                <w:szCs w:val="21"/>
                <w:highlight w:val="none"/>
                <w:lang w:eastAsia="zh-CN"/>
              </w:rPr>
              <w:t>（</w:t>
            </w:r>
            <w:r>
              <w:rPr>
                <w:rFonts w:hint="eastAsia"/>
                <w:sz w:val="21"/>
                <w:szCs w:val="21"/>
                <w:highlight w:val="none"/>
              </w:rPr>
              <w:t>1）大四学生（大四申请，毕业后就读）</w:t>
            </w:r>
          </w:p>
          <w:p w14:paraId="62574EBE">
            <w:pPr>
              <w:rPr>
                <w:rFonts w:hint="eastAsia"/>
                <w:sz w:val="21"/>
                <w:szCs w:val="21"/>
                <w:highlight w:val="none"/>
              </w:rPr>
            </w:pPr>
            <w:r>
              <w:rPr>
                <w:rFonts w:hint="eastAsia"/>
                <w:sz w:val="21"/>
                <w:szCs w:val="21"/>
                <w:highlight w:val="none"/>
              </w:rPr>
              <w:t>（2）本科为法学的法学硕士学生（2年制，研一-研二申请，下一年就读）</w:t>
            </w:r>
          </w:p>
          <w:p w14:paraId="14B583AF">
            <w:pPr>
              <w:rPr>
                <w:rFonts w:hint="eastAsia"/>
                <w:sz w:val="21"/>
                <w:szCs w:val="21"/>
                <w:highlight w:val="none"/>
              </w:rPr>
            </w:pPr>
            <w:r>
              <w:rPr>
                <w:rFonts w:hint="eastAsia"/>
                <w:sz w:val="21"/>
                <w:szCs w:val="21"/>
                <w:highlight w:val="none"/>
              </w:rPr>
              <w:t>（3）本科为法学的法律硕士学生（2年制，研一-研二申请，下一年就读）</w:t>
            </w:r>
          </w:p>
          <w:p w14:paraId="04D13CE6">
            <w:pPr>
              <w:rPr>
                <w:rFonts w:hint="eastAsia"/>
                <w:sz w:val="21"/>
                <w:szCs w:val="21"/>
                <w:highlight w:val="none"/>
              </w:rPr>
            </w:pPr>
            <w:r>
              <w:rPr>
                <w:rFonts w:hint="eastAsia"/>
                <w:sz w:val="21"/>
                <w:szCs w:val="21"/>
                <w:highlight w:val="none"/>
              </w:rPr>
              <w:t>（4）本科非法学的法律硕士学生，但至少修读过6个学期的法律、金融、经济或管理专业课程（3年制，研二-研三申请，下一年就读）</w:t>
            </w:r>
          </w:p>
          <w:p w14:paraId="3C60DCC1">
            <w:pPr>
              <w:rPr>
                <w:rFonts w:hint="eastAsia"/>
                <w:sz w:val="21"/>
                <w:szCs w:val="21"/>
                <w:highlight w:val="none"/>
              </w:rPr>
            </w:pPr>
            <w:r>
              <w:rPr>
                <w:rFonts w:hint="eastAsia"/>
                <w:sz w:val="21"/>
                <w:szCs w:val="21"/>
                <w:highlight w:val="none"/>
              </w:rPr>
              <w:t>（5）博士生</w:t>
            </w:r>
          </w:p>
          <w:p w14:paraId="0C5EF079">
            <w:pPr>
              <w:rPr>
                <w:sz w:val="21"/>
                <w:szCs w:val="21"/>
                <w:highlight w:val="none"/>
              </w:rPr>
            </w:pPr>
            <w:r>
              <w:rPr>
                <w:rFonts w:hint="eastAsia"/>
                <w:sz w:val="21"/>
                <w:szCs w:val="21"/>
                <w:highlight w:val="none"/>
                <w:lang w:val="en-US" w:eastAsia="zh-CN"/>
              </w:rPr>
              <w:t>语言要求：1.托福（老托福）580；2.托福（CBT）270;3.托福（IBT）92;4.剑桥CAE C级；5.雅思6.5； 6.或其他同等级剑桥英语水平考试176</w:t>
            </w:r>
          </w:p>
        </w:tc>
        <w:tc>
          <w:tcPr>
            <w:tcW w:w="2610" w:type="dxa"/>
            <w:noWrap w:val="0"/>
            <w:vAlign w:val="top"/>
          </w:tcPr>
          <w:p w14:paraId="109961DE">
            <w:pP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自费（可申请奖学金）</w:t>
            </w:r>
          </w:p>
          <w:p w14:paraId="03C26008">
            <w:pPr>
              <w:rPr>
                <w:rFonts w:hint="eastAsia" w:ascii="Times New Roman" w:hAnsi="Times New Roman" w:cs="Times New Roman"/>
                <w:sz w:val="21"/>
                <w:szCs w:val="21"/>
                <w:highlight w:val="none"/>
                <w:lang w:val="en-US" w:eastAsia="zh-CN"/>
              </w:rPr>
            </w:pPr>
          </w:p>
          <w:p w14:paraId="1629132B">
            <w:pP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202</w:t>
            </w:r>
            <w:r>
              <w:rPr>
                <w:rFonts w:hint="eastAsia" w:cs="Times New Roman"/>
                <w:sz w:val="21"/>
                <w:szCs w:val="21"/>
                <w:highlight w:val="none"/>
                <w:lang w:val="en-US" w:eastAsia="zh-CN"/>
              </w:rPr>
              <w:t>5</w:t>
            </w:r>
            <w:r>
              <w:rPr>
                <w:rFonts w:hint="eastAsia" w:ascii="Times New Roman" w:hAnsi="Times New Roman" w:cs="Times New Roman"/>
                <w:sz w:val="21"/>
                <w:szCs w:val="21"/>
                <w:highlight w:val="none"/>
                <w:lang w:val="en-US" w:eastAsia="zh-CN"/>
              </w:rPr>
              <w:t>年学费：</w:t>
            </w:r>
            <w:r>
              <w:rPr>
                <w:rFonts w:hint="eastAsia" w:cs="Times New Roman"/>
                <w:sz w:val="21"/>
                <w:szCs w:val="21"/>
                <w:highlight w:val="none"/>
                <w:lang w:val="en-US" w:eastAsia="zh-CN"/>
              </w:rPr>
              <w:t>20</w:t>
            </w:r>
            <w:r>
              <w:rPr>
                <w:rFonts w:hint="eastAsia" w:ascii="Times New Roman" w:hAnsi="Times New Roman" w:cs="Times New Roman"/>
                <w:sz w:val="21"/>
                <w:szCs w:val="21"/>
                <w:highlight w:val="none"/>
                <w:lang w:val="en-US" w:eastAsia="zh-CN"/>
              </w:rPr>
              <w:t>000欧。</w:t>
            </w:r>
          </w:p>
          <w:p w14:paraId="708CE863">
            <w:pPr>
              <w:rPr>
                <w:rFonts w:hint="eastAsia" w:ascii="Times New Roman" w:hAnsi="Times New Roman" w:cs="Times New Roman"/>
                <w:sz w:val="21"/>
                <w:szCs w:val="21"/>
                <w:highlight w:val="none"/>
                <w:lang w:val="en-US" w:eastAsia="zh-CN"/>
              </w:rPr>
            </w:pPr>
          </w:p>
          <w:p w14:paraId="25DE3AF5">
            <w:pP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1月15日前申请获得</w:t>
            </w:r>
            <w:r>
              <w:rPr>
                <w:rFonts w:hint="eastAsia" w:cs="Times New Roman"/>
                <w:sz w:val="21"/>
                <w:szCs w:val="21"/>
                <w:highlight w:val="none"/>
                <w:lang w:val="en-US" w:eastAsia="zh-CN"/>
              </w:rPr>
              <w:t>3000</w:t>
            </w:r>
            <w:r>
              <w:rPr>
                <w:rFonts w:hint="eastAsia" w:ascii="Times New Roman" w:hAnsi="Times New Roman" w:cs="Times New Roman"/>
                <w:sz w:val="21"/>
                <w:szCs w:val="21"/>
                <w:highlight w:val="none"/>
                <w:lang w:val="en-US" w:eastAsia="zh-CN"/>
              </w:rPr>
              <w:t>欧元奖学金（15%）；2月28日前申请获得</w:t>
            </w:r>
            <w:r>
              <w:rPr>
                <w:rFonts w:hint="eastAsia" w:cs="Times New Roman"/>
                <w:sz w:val="21"/>
                <w:szCs w:val="21"/>
                <w:highlight w:val="none"/>
                <w:lang w:val="en-US" w:eastAsia="zh-CN"/>
              </w:rPr>
              <w:t>2000</w:t>
            </w:r>
            <w:r>
              <w:rPr>
                <w:rFonts w:hint="eastAsia" w:ascii="Times New Roman" w:hAnsi="Times New Roman" w:cs="Times New Roman"/>
                <w:sz w:val="21"/>
                <w:szCs w:val="21"/>
                <w:highlight w:val="none"/>
                <w:lang w:val="en-US" w:eastAsia="zh-CN"/>
              </w:rPr>
              <w:t>欧元奖学金（10%）</w:t>
            </w:r>
          </w:p>
        </w:tc>
        <w:tc>
          <w:tcPr>
            <w:tcW w:w="1899" w:type="dxa"/>
            <w:noWrap w:val="0"/>
            <w:vAlign w:val="top"/>
          </w:tcPr>
          <w:p w14:paraId="784DA161">
            <w:pPr>
              <w:rPr>
                <w:rFonts w:hint="eastAsia"/>
                <w:sz w:val="21"/>
                <w:szCs w:val="21"/>
                <w:highlight w:val="none"/>
                <w:lang w:val="en-US" w:eastAsia="zh-CN"/>
              </w:rPr>
            </w:pPr>
          </w:p>
          <w:p w14:paraId="1EE7F2A0">
            <w:pPr>
              <w:rPr>
                <w:rFonts w:hint="default"/>
                <w:sz w:val="21"/>
                <w:szCs w:val="21"/>
                <w:highlight w:val="none"/>
                <w:lang w:val="en-US" w:eastAsia="zh-CN"/>
              </w:rPr>
            </w:pPr>
          </w:p>
        </w:tc>
      </w:tr>
      <w:tr w14:paraId="5BB4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42193D23">
            <w:pPr>
              <w:rPr>
                <w:rFonts w:hint="default" w:eastAsia="宋体"/>
                <w:sz w:val="24"/>
                <w:szCs w:val="24"/>
                <w:highlight w:val="none"/>
                <w:lang w:val="en-US" w:eastAsia="zh-CN"/>
              </w:rPr>
            </w:pPr>
            <w:bookmarkStart w:id="2" w:name="OLE_LINK2" w:colFirst="1" w:colLast="5"/>
            <w:r>
              <w:rPr>
                <w:rFonts w:hint="eastAsia"/>
                <w:sz w:val="24"/>
                <w:szCs w:val="24"/>
                <w:highlight w:val="none"/>
                <w:lang w:val="en-US" w:eastAsia="zh-CN"/>
              </w:rPr>
              <w:t>21</w:t>
            </w:r>
          </w:p>
        </w:tc>
        <w:tc>
          <w:tcPr>
            <w:tcW w:w="2940" w:type="dxa"/>
            <w:noWrap w:val="0"/>
            <w:vAlign w:val="top"/>
          </w:tcPr>
          <w:p w14:paraId="60E087F8">
            <w:pPr>
              <w:rPr>
                <w:rFonts w:hint="default" w:eastAsia="宋体"/>
                <w:sz w:val="24"/>
                <w:szCs w:val="24"/>
                <w:highlight w:val="none"/>
                <w:lang w:val="en-US" w:eastAsia="zh-CN"/>
              </w:rPr>
            </w:pPr>
            <w:r>
              <w:rPr>
                <w:rFonts w:hint="eastAsia" w:eastAsia="宋体"/>
                <w:sz w:val="24"/>
                <w:szCs w:val="24"/>
                <w:highlight w:val="none"/>
                <w:lang w:val="en-US" w:eastAsia="zh-CN"/>
              </w:rPr>
              <w:t>法国</w:t>
            </w:r>
            <w:r>
              <w:rPr>
                <w:rFonts w:hint="eastAsia"/>
                <w:sz w:val="24"/>
                <w:szCs w:val="24"/>
                <w:highlight w:val="none"/>
              </w:rPr>
              <w:t>艾克斯马赛大学欧盟商法硕士项目</w:t>
            </w:r>
          </w:p>
        </w:tc>
        <w:tc>
          <w:tcPr>
            <w:tcW w:w="1482" w:type="dxa"/>
            <w:noWrap w:val="0"/>
            <w:vAlign w:val="top"/>
          </w:tcPr>
          <w:p w14:paraId="31B513EF">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r>
              <w:rPr>
                <w:rFonts w:hint="eastAsia" w:ascii="Times New Roman" w:hAnsi="Times New Roman" w:eastAsia="宋体" w:cs="Times New Roman"/>
                <w:color w:val="auto"/>
                <w:sz w:val="24"/>
                <w:szCs w:val="24"/>
                <w:highlight w:val="none"/>
              </w:rPr>
              <w:t>秋季</w:t>
            </w:r>
            <w:r>
              <w:rPr>
                <w:rFonts w:hint="eastAsia"/>
                <w:sz w:val="24"/>
                <w:szCs w:val="24"/>
                <w:highlight w:val="none"/>
              </w:rPr>
              <w:t>入学，一学年</w:t>
            </w:r>
          </w:p>
        </w:tc>
        <w:tc>
          <w:tcPr>
            <w:tcW w:w="3076" w:type="dxa"/>
            <w:noWrap w:val="0"/>
            <w:vAlign w:val="top"/>
          </w:tcPr>
          <w:p w14:paraId="106BAE26">
            <w:pPr>
              <w:jc w:val="left"/>
              <w:rPr>
                <w:sz w:val="24"/>
                <w:szCs w:val="24"/>
                <w:highlight w:val="none"/>
              </w:rPr>
            </w:pPr>
            <w:r>
              <w:rPr>
                <w:rFonts w:hint="eastAsia"/>
                <w:sz w:val="24"/>
                <w:szCs w:val="24"/>
                <w:highlight w:val="none"/>
              </w:rPr>
              <w:t>1.非毕业班研究生；</w:t>
            </w:r>
          </w:p>
          <w:p w14:paraId="4B16AB54">
            <w:pPr>
              <w:shd w:val="clear" w:color="auto" w:fill="FFFFFF"/>
              <w:spacing w:line="220" w:lineRule="atLeast"/>
              <w:jc w:val="left"/>
              <w:rPr>
                <w:sz w:val="24"/>
                <w:szCs w:val="24"/>
                <w:highlight w:val="none"/>
              </w:rPr>
            </w:pPr>
            <w:r>
              <w:rPr>
                <w:rFonts w:hint="eastAsia"/>
                <w:sz w:val="24"/>
                <w:szCs w:val="24"/>
                <w:highlight w:val="none"/>
              </w:rPr>
              <w:t>2</w:t>
            </w:r>
            <w:bookmarkStart w:id="3" w:name="OLE_LINK7"/>
            <w:r>
              <w:rPr>
                <w:rFonts w:hint="eastAsia"/>
                <w:sz w:val="24"/>
                <w:szCs w:val="24"/>
                <w:highlight w:val="none"/>
              </w:rPr>
              <w:t>.两年内有效的TOEFL（100以上）或IELTS（6.5）成绩；</w:t>
            </w:r>
            <w:bookmarkEnd w:id="3"/>
          </w:p>
          <w:p w14:paraId="6D3A5BD9">
            <w:pPr>
              <w:pStyle w:val="6"/>
              <w:keepNext w:val="0"/>
              <w:keepLines w:val="0"/>
              <w:widowControl/>
              <w:suppressLineNumbers w:val="0"/>
              <w:spacing w:before="0" w:beforeAutospacing="0" w:after="0" w:afterAutospacing="0" w:line="21" w:lineRule="atLeast"/>
              <w:ind w:left="0" w:leftChars="0" w:right="0" w:rightChars="0"/>
              <w:jc w:val="left"/>
              <w:rPr>
                <w:rFonts w:hint="default" w:ascii="宋体" w:hAnsi="宋体" w:eastAsia="宋体" w:cs="宋体"/>
                <w:kern w:val="0"/>
                <w:sz w:val="24"/>
                <w:szCs w:val="24"/>
                <w:highlight w:val="none"/>
                <w:lang w:val="en-US" w:eastAsia="zh-CN"/>
              </w:rPr>
            </w:pPr>
            <w:r>
              <w:rPr>
                <w:rFonts w:hint="eastAsia"/>
                <w:sz w:val="24"/>
                <w:szCs w:val="24"/>
                <w:highlight w:val="none"/>
              </w:rPr>
              <w:t>3.学习成绩优良</w:t>
            </w:r>
          </w:p>
        </w:tc>
        <w:tc>
          <w:tcPr>
            <w:tcW w:w="2610" w:type="dxa"/>
            <w:noWrap w:val="0"/>
            <w:vAlign w:val="top"/>
          </w:tcPr>
          <w:p w14:paraId="6A0DE85F">
            <w:pPr>
              <w:jc w:val="left"/>
              <w:rPr>
                <w:rFonts w:hint="eastAsia"/>
                <w:sz w:val="24"/>
                <w:szCs w:val="24"/>
                <w:highlight w:val="none"/>
                <w:lang w:val="en-US" w:eastAsia="zh-CN"/>
              </w:rPr>
            </w:pPr>
            <w:r>
              <w:rPr>
                <w:rFonts w:hint="eastAsia"/>
                <w:sz w:val="24"/>
                <w:szCs w:val="24"/>
                <w:highlight w:val="none"/>
                <w:lang w:val="en-US" w:eastAsia="zh-CN"/>
              </w:rPr>
              <w:t>1.费用自理；</w:t>
            </w:r>
          </w:p>
          <w:p w14:paraId="27BCB6C6">
            <w:pPr>
              <w:jc w:val="left"/>
              <w:rPr>
                <w:sz w:val="24"/>
                <w:szCs w:val="24"/>
                <w:highlight w:val="none"/>
              </w:rPr>
            </w:pPr>
            <w:r>
              <w:rPr>
                <w:rFonts w:hint="eastAsia"/>
                <w:sz w:val="24"/>
                <w:szCs w:val="24"/>
                <w:highlight w:val="none"/>
                <w:lang w:val="en-US" w:eastAsia="zh-CN"/>
              </w:rPr>
              <w:t>2.可申请埃菲尔奖学金，若获取奖学金名额则可</w:t>
            </w:r>
            <w:r>
              <w:rPr>
                <w:rFonts w:hint="eastAsia"/>
                <w:sz w:val="24"/>
                <w:szCs w:val="24"/>
                <w:highlight w:val="none"/>
              </w:rPr>
              <w:t>免学费，发放生活费</w:t>
            </w:r>
          </w:p>
          <w:p w14:paraId="251A3256">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p>
        </w:tc>
        <w:tc>
          <w:tcPr>
            <w:tcW w:w="1899" w:type="dxa"/>
            <w:noWrap w:val="0"/>
            <w:vAlign w:val="top"/>
          </w:tcPr>
          <w:p w14:paraId="3ADE9BB1">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sz w:val="24"/>
                <w:szCs w:val="24"/>
                <w:highlight w:val="none"/>
                <w:lang w:val="en-US" w:eastAsia="zh-CN"/>
              </w:rPr>
            </w:pPr>
          </w:p>
        </w:tc>
      </w:tr>
      <w:tr w14:paraId="739E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3A419CB6">
            <w:pPr>
              <w:rPr>
                <w:rFonts w:hint="default" w:eastAsia="宋体"/>
                <w:sz w:val="24"/>
                <w:szCs w:val="24"/>
                <w:highlight w:val="none"/>
                <w:lang w:val="en-US" w:eastAsia="zh-CN"/>
              </w:rPr>
            </w:pPr>
            <w:r>
              <w:rPr>
                <w:rFonts w:hint="eastAsia" w:eastAsia="宋体"/>
                <w:sz w:val="24"/>
                <w:szCs w:val="24"/>
                <w:highlight w:val="none"/>
                <w:lang w:val="en-US" w:eastAsia="zh-CN"/>
              </w:rPr>
              <w:t>2</w:t>
            </w:r>
            <w:r>
              <w:rPr>
                <w:rFonts w:hint="eastAsia"/>
                <w:sz w:val="24"/>
                <w:szCs w:val="24"/>
                <w:highlight w:val="none"/>
                <w:lang w:val="en-US" w:eastAsia="zh-CN"/>
              </w:rPr>
              <w:t>2</w:t>
            </w:r>
          </w:p>
        </w:tc>
        <w:tc>
          <w:tcPr>
            <w:tcW w:w="2940" w:type="dxa"/>
            <w:noWrap w:val="0"/>
            <w:vAlign w:val="top"/>
          </w:tcPr>
          <w:p w14:paraId="592FEE71">
            <w:pPr>
              <w:rPr>
                <w:rFonts w:hint="eastAsia" w:eastAsia="宋体"/>
                <w:sz w:val="24"/>
                <w:szCs w:val="24"/>
                <w:highlight w:val="none"/>
                <w:lang w:val="en-US" w:eastAsia="zh-CN"/>
              </w:rPr>
            </w:pPr>
            <w:r>
              <w:rPr>
                <w:rFonts w:hint="eastAsia" w:eastAsia="宋体"/>
                <w:sz w:val="24"/>
                <w:szCs w:val="24"/>
                <w:highlight w:val="none"/>
                <w:lang w:val="en-US" w:eastAsia="zh-CN"/>
              </w:rPr>
              <w:t>香港大学4+1学位项目</w:t>
            </w:r>
          </w:p>
          <w:p w14:paraId="52A9399E">
            <w:pPr>
              <w:rPr>
                <w:rFonts w:hint="default" w:eastAsia="宋体"/>
                <w:sz w:val="24"/>
                <w:szCs w:val="24"/>
                <w:highlight w:val="none"/>
                <w:lang w:val="en-US" w:eastAsia="zh-CN"/>
              </w:rPr>
            </w:pPr>
          </w:p>
        </w:tc>
        <w:tc>
          <w:tcPr>
            <w:tcW w:w="1482" w:type="dxa"/>
            <w:noWrap w:val="0"/>
            <w:vAlign w:val="top"/>
          </w:tcPr>
          <w:p w14:paraId="07867229">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rPr>
            </w:pPr>
            <w:bookmarkStart w:id="4" w:name="OLE_LINK1"/>
            <w:r>
              <w:rPr>
                <w:rFonts w:hint="eastAsia" w:ascii="Times New Roman" w:hAnsi="Times New Roman" w:eastAsia="宋体" w:cs="Times New Roman"/>
                <w:color w:val="auto"/>
                <w:sz w:val="24"/>
                <w:szCs w:val="24"/>
                <w:highlight w:val="none"/>
              </w:rPr>
              <w:t>秋季</w:t>
            </w:r>
            <w:r>
              <w:rPr>
                <w:rFonts w:hint="eastAsia"/>
                <w:sz w:val="24"/>
                <w:szCs w:val="24"/>
                <w:highlight w:val="none"/>
              </w:rPr>
              <w:t>入学，</w:t>
            </w:r>
            <w:r>
              <w:rPr>
                <w:rFonts w:hint="eastAsia"/>
                <w:sz w:val="24"/>
                <w:szCs w:val="24"/>
                <w:highlight w:val="none"/>
                <w:lang w:val="en-US" w:eastAsia="zh-CN"/>
              </w:rPr>
              <w:t>每年至多5名</w:t>
            </w:r>
            <w:bookmarkEnd w:id="4"/>
          </w:p>
        </w:tc>
        <w:tc>
          <w:tcPr>
            <w:tcW w:w="3076" w:type="dxa"/>
            <w:noWrap w:val="0"/>
            <w:vAlign w:val="top"/>
          </w:tcPr>
          <w:p w14:paraId="2906E150">
            <w:pPr>
              <w:shd w:val="clear" w:color="auto" w:fill="FFFFFF"/>
              <w:spacing w:line="220" w:lineRule="atLeast"/>
              <w:jc w:val="left"/>
              <w:rPr>
                <w:rFonts w:hint="default" w:eastAsia="宋体"/>
                <w:sz w:val="24"/>
                <w:szCs w:val="24"/>
                <w:highlight w:val="none"/>
                <w:lang w:val="en-US" w:eastAsia="zh-CN"/>
              </w:rPr>
            </w:pP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val="en-US" w:eastAsia="zh-CN"/>
              </w:rPr>
              <w:t>大四应届毕业生申请，毕业后就读港大LLM项目</w:t>
            </w:r>
          </w:p>
          <w:p w14:paraId="06FCAF8A">
            <w:pPr>
              <w:shd w:val="clear" w:color="auto" w:fill="FFFFFF"/>
              <w:spacing w:line="220" w:lineRule="atLeast"/>
              <w:jc w:val="left"/>
              <w:rPr>
                <w:sz w:val="24"/>
                <w:szCs w:val="24"/>
                <w:highlight w:val="none"/>
              </w:rPr>
            </w:pPr>
            <w:r>
              <w:rPr>
                <w:rFonts w:hint="eastAsia"/>
                <w:sz w:val="24"/>
                <w:szCs w:val="24"/>
                <w:highlight w:val="none"/>
                <w:lang w:val="en-US" w:eastAsia="zh-CN"/>
              </w:rPr>
              <w:t>2.</w:t>
            </w:r>
            <w:r>
              <w:rPr>
                <w:rFonts w:hint="eastAsia"/>
                <w:sz w:val="24"/>
                <w:szCs w:val="24"/>
                <w:highlight w:val="none"/>
              </w:rPr>
              <w:t>两年内有效的TOEFL（</w:t>
            </w:r>
            <w:r>
              <w:rPr>
                <w:rFonts w:hint="eastAsia"/>
                <w:sz w:val="24"/>
                <w:szCs w:val="24"/>
                <w:highlight w:val="none"/>
                <w:lang w:val="en-US" w:eastAsia="zh-CN"/>
              </w:rPr>
              <w:t>97</w:t>
            </w:r>
            <w:r>
              <w:rPr>
                <w:rFonts w:hint="eastAsia"/>
                <w:sz w:val="24"/>
                <w:szCs w:val="24"/>
                <w:highlight w:val="none"/>
              </w:rPr>
              <w:t>以上）或IELTS（</w:t>
            </w: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小分不低于6.5</w:t>
            </w:r>
            <w:r>
              <w:rPr>
                <w:rFonts w:hint="eastAsia"/>
                <w:sz w:val="24"/>
                <w:szCs w:val="24"/>
                <w:highlight w:val="none"/>
                <w:lang w:eastAsia="zh-CN"/>
              </w:rPr>
              <w:t>）</w:t>
            </w:r>
            <w:r>
              <w:rPr>
                <w:rFonts w:hint="eastAsia"/>
                <w:sz w:val="24"/>
                <w:szCs w:val="24"/>
                <w:highlight w:val="none"/>
              </w:rPr>
              <w:t>成绩；</w:t>
            </w:r>
          </w:p>
          <w:p w14:paraId="5E82F621">
            <w:pPr>
              <w:pStyle w:val="6"/>
              <w:keepNext w:val="0"/>
              <w:keepLines w:val="0"/>
              <w:widowControl/>
              <w:suppressLineNumbers w:val="0"/>
              <w:spacing w:before="0" w:beforeAutospacing="0" w:after="0" w:afterAutospacing="0" w:line="21" w:lineRule="atLeast"/>
              <w:ind w:left="0" w:leftChars="0" w:right="0" w:rightChars="0"/>
              <w:jc w:val="left"/>
              <w:rPr>
                <w:rFonts w:hint="eastAsia" w:eastAsia="宋体"/>
                <w:sz w:val="24"/>
                <w:szCs w:val="24"/>
                <w:highlight w:val="none"/>
                <w:lang w:val="en-US" w:eastAsia="zh-CN"/>
              </w:rPr>
            </w:pPr>
            <w:r>
              <w:rPr>
                <w:rFonts w:hint="eastAsia"/>
                <w:sz w:val="24"/>
                <w:szCs w:val="24"/>
                <w:highlight w:val="none"/>
                <w:lang w:val="en-US" w:eastAsia="zh-CN"/>
              </w:rPr>
              <w:t>3</w:t>
            </w:r>
            <w:r>
              <w:rPr>
                <w:rFonts w:hint="eastAsia"/>
                <w:sz w:val="24"/>
                <w:szCs w:val="24"/>
                <w:highlight w:val="none"/>
              </w:rPr>
              <w:t>.学习成绩优良</w:t>
            </w:r>
          </w:p>
        </w:tc>
        <w:tc>
          <w:tcPr>
            <w:tcW w:w="2610" w:type="dxa"/>
            <w:noWrap w:val="0"/>
            <w:vAlign w:val="top"/>
          </w:tcPr>
          <w:p w14:paraId="0263AFE1">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p>
        </w:tc>
        <w:tc>
          <w:tcPr>
            <w:tcW w:w="1899" w:type="dxa"/>
            <w:noWrap w:val="0"/>
            <w:vAlign w:val="top"/>
          </w:tcPr>
          <w:p w14:paraId="1532C898">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sz w:val="24"/>
                <w:szCs w:val="24"/>
                <w:highlight w:val="none"/>
                <w:lang w:val="en-US" w:eastAsia="zh-CN"/>
              </w:rPr>
            </w:pPr>
            <w:r>
              <w:rPr>
                <w:rFonts w:hint="eastAsia"/>
                <w:color w:val="000000"/>
                <w:sz w:val="24"/>
                <w:szCs w:val="24"/>
                <w:highlight w:val="none"/>
                <w:shd w:val="clear" w:color="auto" w:fill="FFFFFF"/>
                <w:lang w:val="en-US" w:eastAsia="zh-CN"/>
              </w:rPr>
              <w:t>目前暂无语言成绩亦可先报名，学院先统计报名情况，在申请截止前提交语言成绩即可</w:t>
            </w:r>
          </w:p>
        </w:tc>
      </w:tr>
      <w:tr w14:paraId="55B2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348B54FC">
            <w:pPr>
              <w:rPr>
                <w:rFonts w:hint="default" w:eastAsia="宋体"/>
                <w:sz w:val="24"/>
                <w:szCs w:val="24"/>
                <w:highlight w:val="none"/>
                <w:lang w:val="en-US" w:eastAsia="zh-CN"/>
              </w:rPr>
            </w:pPr>
            <w:r>
              <w:rPr>
                <w:rFonts w:hint="eastAsia"/>
                <w:sz w:val="24"/>
                <w:szCs w:val="24"/>
                <w:highlight w:val="none"/>
                <w:lang w:val="en-US" w:eastAsia="zh-CN"/>
              </w:rPr>
              <w:t>23</w:t>
            </w:r>
          </w:p>
        </w:tc>
        <w:tc>
          <w:tcPr>
            <w:tcW w:w="2940" w:type="dxa"/>
            <w:noWrap w:val="0"/>
            <w:vAlign w:val="top"/>
          </w:tcPr>
          <w:p w14:paraId="1102A6BB">
            <w:pPr>
              <w:rPr>
                <w:rFonts w:hint="default" w:eastAsia="宋体"/>
                <w:sz w:val="24"/>
                <w:szCs w:val="24"/>
                <w:highlight w:val="none"/>
                <w:lang w:val="en-US" w:eastAsia="zh-CN"/>
              </w:rPr>
            </w:pPr>
            <w:bookmarkStart w:id="5" w:name="OLE_LINK6"/>
            <w:r>
              <w:rPr>
                <w:rFonts w:hint="eastAsia"/>
                <w:sz w:val="24"/>
                <w:szCs w:val="24"/>
                <w:highlight w:val="none"/>
                <w:lang w:val="en-US" w:eastAsia="zh-CN"/>
              </w:rPr>
              <w:t>香港城市大学法学精英项目-本科生3+1+2项目</w:t>
            </w:r>
            <w:bookmarkEnd w:id="5"/>
          </w:p>
        </w:tc>
        <w:tc>
          <w:tcPr>
            <w:tcW w:w="1482" w:type="dxa"/>
            <w:noWrap w:val="0"/>
            <w:vAlign w:val="top"/>
          </w:tcPr>
          <w:p w14:paraId="39AB2972">
            <w:pPr>
              <w:pStyle w:val="6"/>
              <w:keepNext w:val="0"/>
              <w:keepLines w:val="0"/>
              <w:widowControl/>
              <w:suppressLineNumbers w:val="0"/>
              <w:spacing w:before="0" w:beforeAutospacing="0" w:after="0" w:afterAutospacing="0" w:line="21" w:lineRule="atLeast"/>
              <w:ind w:left="0" w:leftChars="0" w:right="0" w:rightChars="0"/>
              <w:jc w:val="left"/>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秋季入学，每年至多3名</w:t>
            </w:r>
          </w:p>
        </w:tc>
        <w:tc>
          <w:tcPr>
            <w:tcW w:w="3076" w:type="dxa"/>
            <w:noWrap w:val="0"/>
            <w:vAlign w:val="top"/>
          </w:tcPr>
          <w:p w14:paraId="4DEC472E">
            <w:pPr>
              <w:pStyle w:val="6"/>
              <w:keepNext w:val="0"/>
              <w:keepLines w:val="0"/>
              <w:widowControl/>
              <w:numPr>
                <w:ilvl w:val="0"/>
                <w:numId w:val="6"/>
              </w:numPr>
              <w:suppressLineNumbers w:val="0"/>
              <w:spacing w:before="0" w:beforeAutospacing="0" w:after="0" w:afterAutospacing="0" w:line="21" w:lineRule="atLeast"/>
              <w:ind w:left="0" w:leftChars="0" w:right="0" w:rightChars="0"/>
              <w:jc w:val="left"/>
              <w:rPr>
                <w:rFonts w:hint="eastAsia"/>
                <w:szCs w:val="24"/>
                <w:highlight w:val="none"/>
              </w:rPr>
            </w:pPr>
            <w:r>
              <w:rPr>
                <w:rFonts w:hint="eastAsia"/>
                <w:szCs w:val="24"/>
                <w:highlight w:val="none"/>
              </w:rPr>
              <w:t>第一至三年在浙大光华法学院修读，第四年在城大修读。(2)在获取浙江大学的法学学士学位后，符合资格的学生可继续参与本合作项目，申请入读城大的法律博士(JD)课程，该课程为期两年。待修毕城大的法律博士课程后，学生将获取由城大授予的法律博士学位。</w:t>
            </w:r>
          </w:p>
          <w:p w14:paraId="4115C392">
            <w:pPr>
              <w:pStyle w:val="6"/>
              <w:keepNext w:val="0"/>
              <w:keepLines w:val="0"/>
              <w:widowControl/>
              <w:numPr>
                <w:ilvl w:val="0"/>
                <w:numId w:val="6"/>
              </w:numPr>
              <w:suppressLineNumbers w:val="0"/>
              <w:spacing w:before="0" w:beforeAutospacing="0" w:after="0" w:afterAutospacing="0" w:line="21" w:lineRule="atLeast"/>
              <w:ind w:left="0" w:leftChars="0" w:right="0" w:rightChars="0"/>
              <w:jc w:val="left"/>
              <w:rPr>
                <w:rFonts w:hint="default"/>
                <w:szCs w:val="24"/>
                <w:highlight w:val="none"/>
                <w:lang w:val="en-US" w:eastAsia="zh-CN"/>
              </w:rPr>
            </w:pPr>
            <w:r>
              <w:rPr>
                <w:rFonts w:hint="eastAsia"/>
                <w:sz w:val="24"/>
                <w:szCs w:val="24"/>
                <w:highlight w:val="none"/>
              </w:rPr>
              <w:t>两年内有效的TOEFL（100以上）或IELTS（</w:t>
            </w: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val="en-US" w:eastAsia="zh-CN"/>
              </w:rPr>
              <w:t>或大学英语六级考试（530）分以上</w:t>
            </w:r>
            <w:r>
              <w:rPr>
                <w:rFonts w:hint="eastAsia"/>
                <w:sz w:val="24"/>
                <w:szCs w:val="24"/>
                <w:highlight w:val="none"/>
              </w:rPr>
              <w:t>；</w:t>
            </w:r>
          </w:p>
        </w:tc>
        <w:tc>
          <w:tcPr>
            <w:tcW w:w="2610" w:type="dxa"/>
            <w:noWrap w:val="0"/>
            <w:vAlign w:val="top"/>
          </w:tcPr>
          <w:p w14:paraId="77B3707A">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+1港城大交换身份期间学费免除，+2JD身份期间需缴纳学费。</w:t>
            </w:r>
          </w:p>
        </w:tc>
        <w:tc>
          <w:tcPr>
            <w:tcW w:w="1899" w:type="dxa"/>
            <w:noWrap w:val="0"/>
            <w:vAlign w:val="top"/>
          </w:tcPr>
          <w:p w14:paraId="35EF944B">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目前暂无语言成绩亦可先报名，学院先统计报名情况，在申请截止前提交语言成绩即可</w:t>
            </w:r>
          </w:p>
        </w:tc>
      </w:tr>
      <w:tr w14:paraId="500C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3DA4AD6E">
            <w:pPr>
              <w:rPr>
                <w:rFonts w:hint="default"/>
                <w:sz w:val="24"/>
                <w:szCs w:val="24"/>
                <w:highlight w:val="none"/>
                <w:lang w:val="en-US" w:eastAsia="zh-CN"/>
              </w:rPr>
            </w:pPr>
            <w:r>
              <w:rPr>
                <w:rFonts w:hint="eastAsia"/>
                <w:sz w:val="24"/>
                <w:szCs w:val="24"/>
                <w:highlight w:val="none"/>
                <w:lang w:val="en-US" w:eastAsia="zh-CN"/>
              </w:rPr>
              <w:t>24</w:t>
            </w:r>
          </w:p>
        </w:tc>
        <w:tc>
          <w:tcPr>
            <w:tcW w:w="2940" w:type="dxa"/>
            <w:noWrap w:val="0"/>
            <w:vAlign w:val="top"/>
          </w:tcPr>
          <w:p w14:paraId="4A8F7968">
            <w:pPr>
              <w:rPr>
                <w:rFonts w:hint="eastAsia"/>
                <w:sz w:val="24"/>
                <w:szCs w:val="24"/>
                <w:highlight w:val="none"/>
                <w:lang w:val="en-US" w:eastAsia="zh-CN"/>
              </w:rPr>
            </w:pPr>
            <w:r>
              <w:rPr>
                <w:rFonts w:hint="eastAsia"/>
                <w:sz w:val="24"/>
                <w:szCs w:val="24"/>
                <w:highlight w:val="none"/>
                <w:lang w:val="en-US" w:eastAsia="zh-CN"/>
              </w:rPr>
              <w:t>香港城市大学法学精英项目-研究生1+1项目</w:t>
            </w:r>
          </w:p>
        </w:tc>
        <w:tc>
          <w:tcPr>
            <w:tcW w:w="1482" w:type="dxa"/>
            <w:noWrap w:val="0"/>
            <w:vAlign w:val="top"/>
          </w:tcPr>
          <w:p w14:paraId="59DCC632">
            <w:pPr>
              <w:pStyle w:val="6"/>
              <w:keepNext w:val="0"/>
              <w:keepLines w:val="0"/>
              <w:widowControl/>
              <w:suppressLineNumbers w:val="0"/>
              <w:spacing w:before="0" w:beforeAutospacing="0" w:after="0" w:afterAutospacing="0" w:line="21" w:lineRule="atLeast"/>
              <w:ind w:left="0" w:leftChars="0" w:right="0" w:rightChars="0"/>
              <w:jc w:val="left"/>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秋季入学，每年至多5名</w:t>
            </w:r>
          </w:p>
        </w:tc>
        <w:tc>
          <w:tcPr>
            <w:tcW w:w="3076" w:type="dxa"/>
            <w:noWrap w:val="0"/>
            <w:vAlign w:val="top"/>
          </w:tcPr>
          <w:p w14:paraId="2760AF7B">
            <w:pPr>
              <w:pStyle w:val="6"/>
              <w:keepNext w:val="0"/>
              <w:keepLines w:val="0"/>
              <w:widowControl/>
              <w:suppressLineNumbers w:val="0"/>
              <w:spacing w:before="0" w:beforeAutospacing="0" w:after="0" w:afterAutospacing="0" w:line="21" w:lineRule="atLeast"/>
              <w:ind w:left="0" w:leftChars="0" w:right="0" w:rightChars="0"/>
              <w:jc w:val="left"/>
              <w:rPr>
                <w:rFonts w:hint="eastAsia"/>
                <w:szCs w:val="24"/>
                <w:highlight w:val="none"/>
              </w:rPr>
            </w:pPr>
            <w:r>
              <w:rPr>
                <w:rFonts w:hint="eastAsia"/>
                <w:szCs w:val="24"/>
                <w:highlight w:val="none"/>
              </w:rPr>
              <w:t>面向浙大两年制法学硕士学生和两年制法律硕士（法学）学生招生。第一年在浙大光华法学院修读，第二年在城大修读。在城大修读的一年期间，浙大光华法学院学生将注册为城大全日制法学硕士课程学生。</w:t>
            </w:r>
          </w:p>
          <w:p w14:paraId="105B200B">
            <w:pPr>
              <w:pStyle w:val="6"/>
              <w:keepNext w:val="0"/>
              <w:keepLines w:val="0"/>
              <w:widowControl/>
              <w:suppressLineNumbers w:val="0"/>
              <w:spacing w:before="0" w:beforeAutospacing="0" w:after="0" w:afterAutospacing="0" w:line="21" w:lineRule="atLeast"/>
              <w:ind w:left="0" w:leftChars="0" w:right="0" w:rightChars="0"/>
              <w:jc w:val="left"/>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语言要求：</w:t>
            </w:r>
          </w:p>
          <w:p w14:paraId="3399CD0A">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托福考试总分不低于88分（网络考试）；或者</w:t>
            </w:r>
          </w:p>
          <w:p w14:paraId="6FA5450B">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雅思总分6.5分；或者</w:t>
            </w:r>
          </w:p>
          <w:p w14:paraId="468EFE16">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中国大陆大学英语六级520分；或者</w:t>
            </w:r>
          </w:p>
          <w:p w14:paraId="33881919">
            <w:pPr>
              <w:pStyle w:val="6"/>
              <w:keepNext w:val="0"/>
              <w:keepLines w:val="0"/>
              <w:widowControl/>
              <w:suppressLineNumbers w:val="0"/>
              <w:spacing w:before="0" w:beforeAutospacing="0" w:after="0" w:afterAutospacing="0" w:line="21" w:lineRule="atLeast"/>
              <w:ind w:left="0" w:leftChars="0" w:right="0" w:rightChars="0"/>
              <w:jc w:val="left"/>
              <w:rPr>
                <w:rFonts w:hint="default"/>
                <w:szCs w:val="24"/>
                <w:highlight w:val="none"/>
                <w:lang w:val="en-US" w:eastAsia="zh-CN"/>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其他同等资格</w:t>
            </w:r>
          </w:p>
        </w:tc>
        <w:tc>
          <w:tcPr>
            <w:tcW w:w="2610" w:type="dxa"/>
            <w:noWrap w:val="0"/>
            <w:vAlign w:val="top"/>
          </w:tcPr>
          <w:p w14:paraId="6638B0C2">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学费、生活费等自理</w:t>
            </w:r>
          </w:p>
        </w:tc>
        <w:tc>
          <w:tcPr>
            <w:tcW w:w="1899" w:type="dxa"/>
            <w:noWrap w:val="0"/>
            <w:vAlign w:val="top"/>
          </w:tcPr>
          <w:p w14:paraId="6F5FC26B">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rPr>
            </w:pPr>
            <w:r>
              <w:rPr>
                <w:rFonts w:hint="eastAsia"/>
                <w:color w:val="000000"/>
                <w:sz w:val="24"/>
                <w:szCs w:val="24"/>
                <w:highlight w:val="none"/>
                <w:shd w:val="clear" w:color="auto" w:fill="FFFFFF"/>
                <w:lang w:val="en-US" w:eastAsia="zh-CN"/>
              </w:rPr>
              <w:t>目前暂无语言成绩亦可先报名，学院先统计报名情况，在申请截止前提交语言成绩即可</w:t>
            </w:r>
          </w:p>
        </w:tc>
      </w:tr>
      <w:tr w14:paraId="2E6D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5420C895">
            <w:pPr>
              <w:rPr>
                <w:rFonts w:hint="default"/>
                <w:sz w:val="24"/>
                <w:szCs w:val="24"/>
                <w:highlight w:val="none"/>
                <w:lang w:val="en-US" w:eastAsia="zh-CN"/>
              </w:rPr>
            </w:pPr>
            <w:r>
              <w:rPr>
                <w:rFonts w:hint="eastAsia"/>
                <w:sz w:val="24"/>
                <w:szCs w:val="24"/>
                <w:highlight w:val="none"/>
                <w:lang w:val="en-US" w:eastAsia="zh-CN"/>
              </w:rPr>
              <w:t>25</w:t>
            </w:r>
          </w:p>
        </w:tc>
        <w:tc>
          <w:tcPr>
            <w:tcW w:w="2940" w:type="dxa"/>
            <w:noWrap w:val="0"/>
            <w:vAlign w:val="top"/>
          </w:tcPr>
          <w:p w14:paraId="54D82F8A">
            <w:pPr>
              <w:rPr>
                <w:rFonts w:hint="eastAsia"/>
                <w:sz w:val="24"/>
                <w:szCs w:val="24"/>
                <w:highlight w:val="none"/>
                <w:lang w:val="en-US" w:eastAsia="zh-CN"/>
              </w:rPr>
            </w:pPr>
            <w:r>
              <w:rPr>
                <w:rFonts w:hint="eastAsia"/>
                <w:sz w:val="24"/>
                <w:szCs w:val="24"/>
                <w:highlight w:val="none"/>
                <w:lang w:val="en-US" w:eastAsia="zh-CN"/>
              </w:rPr>
              <w:t>香港城市大学法学精英项目-研究生2+1项目</w:t>
            </w:r>
          </w:p>
        </w:tc>
        <w:tc>
          <w:tcPr>
            <w:tcW w:w="1482" w:type="dxa"/>
            <w:noWrap w:val="0"/>
            <w:vAlign w:val="top"/>
          </w:tcPr>
          <w:p w14:paraId="5A4F5C8D">
            <w:pPr>
              <w:pStyle w:val="6"/>
              <w:keepNext w:val="0"/>
              <w:keepLines w:val="0"/>
              <w:widowControl/>
              <w:suppressLineNumbers w:val="0"/>
              <w:spacing w:before="0" w:beforeAutospacing="0" w:after="0" w:afterAutospacing="0" w:line="21" w:lineRule="atLeast"/>
              <w:ind w:left="0" w:leftChars="0" w:right="0" w:rightChars="0"/>
              <w:jc w:val="left"/>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秋季入学，每年至多3名</w:t>
            </w:r>
          </w:p>
        </w:tc>
        <w:tc>
          <w:tcPr>
            <w:tcW w:w="3076" w:type="dxa"/>
            <w:noWrap w:val="0"/>
            <w:vAlign w:val="top"/>
          </w:tcPr>
          <w:p w14:paraId="6DDE8CAC">
            <w:pPr>
              <w:pStyle w:val="6"/>
              <w:keepNext w:val="0"/>
              <w:keepLines w:val="0"/>
              <w:widowControl/>
              <w:suppressLineNumbers w:val="0"/>
              <w:spacing w:before="0" w:beforeAutospacing="0" w:after="0" w:afterAutospacing="0" w:line="21" w:lineRule="atLeast"/>
              <w:ind w:left="0" w:leftChars="0" w:right="0" w:rightChars="0"/>
              <w:jc w:val="left"/>
              <w:rPr>
                <w:rFonts w:hint="eastAsia"/>
                <w:szCs w:val="24"/>
                <w:highlight w:val="none"/>
              </w:rPr>
            </w:pPr>
            <w:r>
              <w:rPr>
                <w:rFonts w:hint="eastAsia"/>
                <w:szCs w:val="24"/>
                <w:highlight w:val="none"/>
              </w:rPr>
              <w:t>面向浙大两年制法学硕士和两年制法律硕士（法学）应届毕业生招生。</w:t>
            </w:r>
          </w:p>
          <w:p w14:paraId="35E9D058">
            <w:pPr>
              <w:pStyle w:val="6"/>
              <w:keepNext w:val="0"/>
              <w:keepLines w:val="0"/>
              <w:widowControl/>
              <w:suppressLineNumbers w:val="0"/>
              <w:spacing w:before="0" w:beforeAutospacing="0" w:after="0" w:afterAutospacing="0" w:line="21" w:lineRule="atLeast"/>
              <w:ind w:left="0" w:leftChars="0" w:right="0" w:rightChars="0"/>
              <w:jc w:val="left"/>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语言要求：</w:t>
            </w:r>
          </w:p>
          <w:p w14:paraId="0805DFFA">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托福考试总分不低于88分（网络考试）；或者</w:t>
            </w:r>
          </w:p>
          <w:p w14:paraId="46EAEF06">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雅思总分6.5分；或者</w:t>
            </w:r>
          </w:p>
          <w:p w14:paraId="4B66111C">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中国大陆大学英语六级520分；或者</w:t>
            </w:r>
          </w:p>
          <w:p w14:paraId="602E0A45">
            <w:pPr>
              <w:pStyle w:val="6"/>
              <w:keepNext w:val="0"/>
              <w:keepLines w:val="0"/>
              <w:widowControl/>
              <w:suppressLineNumbers w:val="0"/>
              <w:spacing w:before="0" w:beforeAutospacing="0" w:after="0" w:afterAutospacing="0" w:line="21" w:lineRule="atLeast"/>
              <w:ind w:left="0" w:leftChars="0" w:right="0" w:rightChars="0"/>
              <w:jc w:val="left"/>
              <w:rPr>
                <w:rFonts w:hint="eastAsia"/>
                <w:szCs w:val="24"/>
                <w:highlight w:val="none"/>
                <w:lang w:val="en-US" w:eastAsia="zh-CN"/>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其他同等资格</w:t>
            </w:r>
          </w:p>
        </w:tc>
        <w:tc>
          <w:tcPr>
            <w:tcW w:w="2610" w:type="dxa"/>
            <w:noWrap w:val="0"/>
            <w:vAlign w:val="top"/>
          </w:tcPr>
          <w:p w14:paraId="4C052344">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p>
        </w:tc>
        <w:tc>
          <w:tcPr>
            <w:tcW w:w="1899" w:type="dxa"/>
            <w:noWrap w:val="0"/>
            <w:vAlign w:val="top"/>
          </w:tcPr>
          <w:p w14:paraId="79E2588D">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目前暂无语言成绩亦可先报名，学院先统计报名情况，在申请截止前提交语言成绩即可</w:t>
            </w:r>
          </w:p>
        </w:tc>
      </w:tr>
      <w:tr w14:paraId="400F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5D89DC1F">
            <w:pPr>
              <w:rPr>
                <w:rFonts w:hint="default"/>
                <w:sz w:val="24"/>
                <w:szCs w:val="24"/>
                <w:highlight w:val="none"/>
                <w:lang w:val="en-US" w:eastAsia="zh-CN"/>
              </w:rPr>
            </w:pPr>
            <w:r>
              <w:rPr>
                <w:rFonts w:hint="eastAsia"/>
                <w:sz w:val="24"/>
                <w:szCs w:val="24"/>
                <w:highlight w:val="none"/>
                <w:lang w:val="en-US" w:eastAsia="zh-CN"/>
              </w:rPr>
              <w:t>26</w:t>
            </w:r>
          </w:p>
        </w:tc>
        <w:tc>
          <w:tcPr>
            <w:tcW w:w="2940" w:type="dxa"/>
            <w:noWrap w:val="0"/>
            <w:vAlign w:val="top"/>
          </w:tcPr>
          <w:p w14:paraId="050C35F6">
            <w:pPr>
              <w:rPr>
                <w:rFonts w:hint="eastAsia"/>
                <w:sz w:val="24"/>
                <w:szCs w:val="24"/>
                <w:highlight w:val="none"/>
                <w:lang w:val="en-US" w:eastAsia="zh-CN"/>
              </w:rPr>
            </w:pPr>
            <w:r>
              <w:rPr>
                <w:rFonts w:hint="eastAsia"/>
                <w:sz w:val="24"/>
                <w:szCs w:val="24"/>
                <w:highlight w:val="none"/>
                <w:lang w:val="en-US" w:eastAsia="zh-CN"/>
              </w:rPr>
              <w:t>香港城市大学法学精英项目-研究生1+1+1项目</w:t>
            </w:r>
            <w:r>
              <w:rPr>
                <w:rFonts w:cs="Times New Roman" w:asciiTheme="majorEastAsia" w:hAnsiTheme="majorEastAsia" w:eastAsiaTheme="majorEastAsia"/>
                <w:bCs/>
                <w:color w:val="000000" w:themeColor="text1"/>
                <w:sz w:val="24"/>
                <w:szCs w:val="24"/>
                <w:highlight w:val="none"/>
                <w:lang w:val="zh-CN" w:eastAsia="zh-TW"/>
                <w14:textFill>
                  <w14:solidFill>
                    <w14:schemeClr w14:val="tx1"/>
                  </w14:solidFill>
                </w14:textFill>
              </w:rPr>
              <w:t>(</w:t>
            </w:r>
            <w:r>
              <w:rPr>
                <w:rFonts w:hint="eastAsia" w:cs="Times New Roman" w:asciiTheme="majorEastAsia" w:hAnsiTheme="majorEastAsia" w:eastAsiaTheme="majorEastAsia"/>
                <w:bCs/>
                <w:color w:val="000000" w:themeColor="text1"/>
                <w:sz w:val="24"/>
                <w:szCs w:val="24"/>
                <w:highlight w:val="none"/>
                <w:lang w:val="zh-CN"/>
                <w14:textFill>
                  <w14:solidFill>
                    <w14:schemeClr w14:val="tx1"/>
                  </w14:solidFill>
                </w14:textFill>
              </w:rPr>
              <w:t>仲裁及争议解决学</w:t>
            </w:r>
            <w:r>
              <w:rPr>
                <w:rFonts w:cs="Times New Roman" w:asciiTheme="majorEastAsia" w:hAnsiTheme="majorEastAsia" w:eastAsiaTheme="majorEastAsia"/>
                <w:bCs/>
                <w:color w:val="000000" w:themeColor="text1"/>
                <w:sz w:val="24"/>
                <w:szCs w:val="24"/>
                <w:highlight w:val="none"/>
                <w:lang w:val="zh-CN"/>
                <w14:textFill>
                  <w14:solidFill>
                    <w14:schemeClr w14:val="tx1"/>
                  </w14:solidFill>
                </w14:textFill>
              </w:rPr>
              <w:t>)</w:t>
            </w:r>
          </w:p>
        </w:tc>
        <w:tc>
          <w:tcPr>
            <w:tcW w:w="1482" w:type="dxa"/>
            <w:noWrap w:val="0"/>
            <w:vAlign w:val="top"/>
          </w:tcPr>
          <w:p w14:paraId="10B5EA1A">
            <w:pPr>
              <w:pStyle w:val="6"/>
              <w:keepNext w:val="0"/>
              <w:keepLines w:val="0"/>
              <w:widowControl/>
              <w:suppressLineNumbers w:val="0"/>
              <w:spacing w:before="0" w:beforeAutospacing="0" w:after="0" w:afterAutospacing="0" w:line="21" w:lineRule="atLeast"/>
              <w:ind w:left="0" w:leftChars="0" w:right="0" w:rightChars="0"/>
              <w:jc w:val="left"/>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秋季入学，每年至多5名</w:t>
            </w:r>
          </w:p>
        </w:tc>
        <w:tc>
          <w:tcPr>
            <w:tcW w:w="3076" w:type="dxa"/>
            <w:noWrap w:val="0"/>
            <w:vAlign w:val="top"/>
          </w:tcPr>
          <w:p w14:paraId="5E0BC54F">
            <w:pPr>
              <w:pStyle w:val="6"/>
              <w:keepNext w:val="0"/>
              <w:keepLines w:val="0"/>
              <w:widowControl/>
              <w:suppressLineNumbers w:val="0"/>
              <w:spacing w:before="0" w:beforeAutospacing="0" w:after="0" w:afterAutospacing="0" w:line="21" w:lineRule="atLeast"/>
              <w:ind w:left="0" w:leftChars="0" w:right="0" w:rightChars="0"/>
              <w:jc w:val="lef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面向</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浙大</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三年制法律硕士（非法学）学生招生。</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第一年在浙大</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光华法学院</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修读</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第二年在城大修读，第三年返回浙大</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光华法学院</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修毕</w:t>
            </w:r>
            <w:r>
              <w:rPr>
                <w:rFonts w:hint="eastAsia" w:cs="Times New Roman" w:asciiTheme="minorEastAsia" w:hAnsiTheme="minorEastAsia" w:eastAsiaTheme="minorEastAsia"/>
                <w:sz w:val="24"/>
                <w:szCs w:val="24"/>
                <w:highlight w:val="none"/>
                <w:lang w:val="zh-CN"/>
              </w:rPr>
              <w:t>浙</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大</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光华法学院</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的硕士课程。</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在城大修读的一年期间，浙大</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光华法学院</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学生将注册为城大全日制</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法学硕士</w:t>
            </w:r>
            <w:bookmarkStart w:id="6" w:name="_Hlk173404014"/>
            <w:r>
              <w:rPr>
                <w:rFonts w:cs="Times New Roman" w:asciiTheme="majorEastAsia" w:hAnsiTheme="majorEastAsia" w:eastAsiaTheme="majorEastAsia"/>
                <w:bCs/>
                <w:color w:val="000000" w:themeColor="text1"/>
                <w:sz w:val="24"/>
                <w:szCs w:val="24"/>
                <w:highlight w:val="none"/>
                <w:lang w:val="zh-CN" w:eastAsia="zh-TW"/>
                <w14:textFill>
                  <w14:solidFill>
                    <w14:schemeClr w14:val="tx1"/>
                  </w14:solidFill>
                </w14:textFill>
              </w:rPr>
              <w:t>(</w:t>
            </w:r>
            <w:r>
              <w:rPr>
                <w:rFonts w:hint="eastAsia" w:cs="Times New Roman" w:asciiTheme="majorEastAsia" w:hAnsiTheme="majorEastAsia" w:eastAsiaTheme="majorEastAsia"/>
                <w:bCs/>
                <w:color w:val="000000" w:themeColor="text1"/>
                <w:sz w:val="24"/>
                <w:szCs w:val="24"/>
                <w:highlight w:val="none"/>
                <w:lang w:val="zh-CN"/>
                <w14:textFill>
                  <w14:solidFill>
                    <w14:schemeClr w14:val="tx1"/>
                  </w14:solidFill>
                </w14:textFill>
              </w:rPr>
              <w:t>仲裁及争议解决学</w:t>
            </w:r>
            <w:r>
              <w:rPr>
                <w:rFonts w:cs="Times New Roman" w:asciiTheme="majorEastAsia" w:hAnsiTheme="majorEastAsia" w:eastAsiaTheme="majorEastAsia"/>
                <w:bCs/>
                <w:color w:val="000000" w:themeColor="text1"/>
                <w:sz w:val="24"/>
                <w:szCs w:val="24"/>
                <w:highlight w:val="none"/>
                <w:lang w:val="zh-CN"/>
                <w14:textFill>
                  <w14:solidFill>
                    <w14:schemeClr w14:val="tx1"/>
                  </w14:solidFill>
                </w14:textFill>
              </w:rPr>
              <w:t>)</w:t>
            </w:r>
            <w:bookmarkEnd w:id="6"/>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课程学生</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p w14:paraId="057F8A79">
            <w:pPr>
              <w:pStyle w:val="6"/>
              <w:keepNext w:val="0"/>
              <w:keepLines w:val="0"/>
              <w:widowControl/>
              <w:suppressLineNumbers w:val="0"/>
              <w:spacing w:before="0" w:beforeAutospacing="0" w:after="0" w:afterAutospacing="0" w:line="21" w:lineRule="atLeast"/>
              <w:ind w:left="0" w:leftChars="0" w:right="0" w:rightChars="0"/>
              <w:jc w:val="left"/>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语言要求：</w:t>
            </w:r>
          </w:p>
          <w:p w14:paraId="5D029E42">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托福考试总分不低于88分（网络考试）；或者</w:t>
            </w:r>
          </w:p>
          <w:p w14:paraId="0A8C28EC">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雅思总分6.5分；或者</w:t>
            </w:r>
          </w:p>
          <w:p w14:paraId="40843962">
            <w:pPr>
              <w:pStyle w:val="6"/>
              <w:keepNext w:val="0"/>
              <w:keepLines w:val="0"/>
              <w:widowControl/>
              <w:suppressLineNumbers w:val="0"/>
              <w:spacing w:before="0" w:beforeAutospacing="0" w:after="0" w:afterAutospacing="0" w:line="21" w:lineRule="atLeast"/>
              <w:ind w:left="0" w:leftChars="0" w:right="0" w:rightChars="0"/>
              <w:jc w:val="left"/>
              <w:rPr>
                <w:rFonts w:hint="default"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中国大陆大学英语六级520分；或者</w:t>
            </w:r>
          </w:p>
          <w:p w14:paraId="6BF10D9B">
            <w:pPr>
              <w:pStyle w:val="6"/>
              <w:keepNext w:val="0"/>
              <w:keepLines w:val="0"/>
              <w:widowControl/>
              <w:suppressLineNumbers w:val="0"/>
              <w:spacing w:before="0" w:beforeAutospacing="0" w:after="0" w:afterAutospacing="0" w:line="21" w:lineRule="atLeast"/>
              <w:ind w:left="0" w:leftChars="0" w:right="0" w:rightChars="0"/>
              <w:jc w:val="left"/>
              <w:rPr>
                <w:rFonts w:hint="default"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r>
              <w:rPr>
                <w:rFonts w:hint="default" w:asciiTheme="minorEastAsia" w:hAnsiTheme="minorEastAsia" w:eastAsiaTheme="minorEastAsia"/>
                <w:color w:val="000000" w:themeColor="text1"/>
                <w:szCs w:val="24"/>
                <w:highlight w:val="none"/>
                <w14:textFill>
                  <w14:solidFill>
                    <w14:schemeClr w14:val="tx1"/>
                  </w14:solidFill>
                </w14:textFill>
              </w:rPr>
              <w:t>其他同等资格</w:t>
            </w:r>
          </w:p>
        </w:tc>
        <w:tc>
          <w:tcPr>
            <w:tcW w:w="2610" w:type="dxa"/>
            <w:noWrap w:val="0"/>
            <w:vAlign w:val="top"/>
          </w:tcPr>
          <w:p w14:paraId="61F895A9">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p>
        </w:tc>
        <w:tc>
          <w:tcPr>
            <w:tcW w:w="1899" w:type="dxa"/>
            <w:noWrap w:val="0"/>
            <w:vAlign w:val="top"/>
          </w:tcPr>
          <w:p w14:paraId="74660C1E">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目前暂无语言成绩亦可先报名，学院先统计报名情况，在申请截止前提交语言成绩即可</w:t>
            </w:r>
          </w:p>
        </w:tc>
      </w:tr>
      <w:tr w14:paraId="0AC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493D0112">
            <w:pPr>
              <w:rPr>
                <w:rFonts w:hint="default"/>
                <w:sz w:val="24"/>
                <w:szCs w:val="24"/>
                <w:highlight w:val="none"/>
                <w:lang w:val="en-US" w:eastAsia="zh-CN"/>
              </w:rPr>
            </w:pPr>
            <w:r>
              <w:rPr>
                <w:rFonts w:hint="eastAsia"/>
                <w:sz w:val="24"/>
                <w:szCs w:val="24"/>
                <w:highlight w:val="none"/>
                <w:lang w:val="en-US" w:eastAsia="zh-CN"/>
              </w:rPr>
              <w:t>27</w:t>
            </w:r>
          </w:p>
        </w:tc>
        <w:tc>
          <w:tcPr>
            <w:tcW w:w="2940" w:type="dxa"/>
            <w:noWrap w:val="0"/>
            <w:vAlign w:val="top"/>
          </w:tcPr>
          <w:p w14:paraId="3C8374D4">
            <w:pPr>
              <w:rPr>
                <w:rFonts w:hint="default"/>
                <w:sz w:val="24"/>
                <w:szCs w:val="24"/>
                <w:highlight w:val="none"/>
                <w:lang w:val="en-US" w:eastAsia="zh-CN"/>
              </w:rPr>
            </w:pPr>
            <w:r>
              <w:rPr>
                <w:rFonts w:hint="eastAsia"/>
                <w:sz w:val="24"/>
                <w:szCs w:val="24"/>
                <w:highlight w:val="none"/>
                <w:lang w:val="en-US" w:eastAsia="zh-CN"/>
              </w:rPr>
              <w:t>香港城市大学本科生访修+LLM项目</w:t>
            </w:r>
          </w:p>
        </w:tc>
        <w:tc>
          <w:tcPr>
            <w:tcW w:w="1482" w:type="dxa"/>
            <w:noWrap w:val="0"/>
            <w:vAlign w:val="top"/>
          </w:tcPr>
          <w:p w14:paraId="7DBC015E">
            <w:pPr>
              <w:pStyle w:val="6"/>
              <w:keepNext w:val="0"/>
              <w:keepLines w:val="0"/>
              <w:widowControl/>
              <w:suppressLineNumbers w:val="0"/>
              <w:spacing w:before="0" w:beforeAutospacing="0" w:after="0" w:afterAutospacing="0" w:line="21" w:lineRule="atLeast"/>
              <w:ind w:left="0" w:leftChars="0" w:right="0" w:rightChars="0"/>
              <w:jc w:val="left"/>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春季或秋季入学，每年至多30名</w:t>
            </w:r>
          </w:p>
        </w:tc>
        <w:tc>
          <w:tcPr>
            <w:tcW w:w="3076" w:type="dxa"/>
            <w:noWrap w:val="0"/>
            <w:vAlign w:val="top"/>
          </w:tcPr>
          <w:p w14:paraId="1D46AEAD">
            <w:pPr>
              <w:pStyle w:val="6"/>
              <w:keepNext w:val="0"/>
              <w:keepLines w:val="0"/>
              <w:widowControl/>
              <w:numPr>
                <w:ilvl w:val="0"/>
                <w:numId w:val="7"/>
              </w:numPr>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default"/>
                <w:szCs w:val="24"/>
                <w:highlight w:val="none"/>
              </w:rPr>
              <w:t>第三年或第四年在城大修读，为期半年。在获取浙江大学的法学学士学位后，符合资格的学生可继续参与本合作项目，申请入读城大的法学硕士（LLM）课程，该课程为期一年。</w:t>
            </w:r>
          </w:p>
          <w:p w14:paraId="78910C77">
            <w:pPr>
              <w:pStyle w:val="6"/>
              <w:keepNext w:val="0"/>
              <w:keepLines w:val="0"/>
              <w:widowControl/>
              <w:numPr>
                <w:ilvl w:val="0"/>
                <w:numId w:val="7"/>
              </w:numPr>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Cs w:val="24"/>
                <w:highlight w:val="none"/>
                <w:lang w:val="en-US" w:eastAsia="zh-CN"/>
              </w:rPr>
              <w:t>两年内有效的</w:t>
            </w:r>
            <w:r>
              <w:rPr>
                <w:rFonts w:hint="eastAsia"/>
                <w:szCs w:val="24"/>
                <w:highlight w:val="none"/>
              </w:rPr>
              <w:t>托福考试总分不低于88分（网络考试）或雅思总分6.5分</w:t>
            </w:r>
            <w:r>
              <w:rPr>
                <w:rFonts w:hint="eastAsia"/>
                <w:szCs w:val="24"/>
                <w:highlight w:val="none"/>
                <w:lang w:eastAsia="zh-CN"/>
              </w:rPr>
              <w:t>。</w:t>
            </w:r>
          </w:p>
        </w:tc>
        <w:tc>
          <w:tcPr>
            <w:tcW w:w="2610" w:type="dxa"/>
            <w:noWrap w:val="0"/>
            <w:vAlign w:val="top"/>
          </w:tcPr>
          <w:p w14:paraId="41DACB7D">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访修期间四门课程学费自理；参加此项目的学生会优先考虑录取，并可以免修两门课程，节省6个学分费用。</w:t>
            </w:r>
          </w:p>
        </w:tc>
        <w:tc>
          <w:tcPr>
            <w:tcW w:w="1899" w:type="dxa"/>
            <w:noWrap w:val="0"/>
            <w:vAlign w:val="top"/>
          </w:tcPr>
          <w:p w14:paraId="7D7F3E26">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rPr>
            </w:pPr>
            <w:r>
              <w:rPr>
                <w:rFonts w:hint="eastAsia"/>
                <w:color w:val="000000"/>
                <w:sz w:val="24"/>
                <w:szCs w:val="24"/>
                <w:highlight w:val="none"/>
                <w:shd w:val="clear" w:color="auto" w:fill="FFFFFF"/>
                <w:lang w:val="en-US" w:eastAsia="zh-CN"/>
              </w:rPr>
              <w:t>目前暂无语言成绩亦可先报名，学院先统计报名情况，在申请截止前提交语言成绩即可</w:t>
            </w:r>
          </w:p>
        </w:tc>
      </w:tr>
      <w:tr w14:paraId="7EE2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2A3E7509">
            <w:pPr>
              <w:rPr>
                <w:rFonts w:hint="default" w:eastAsia="宋体"/>
                <w:sz w:val="24"/>
                <w:szCs w:val="24"/>
                <w:highlight w:val="none"/>
                <w:lang w:val="en-US" w:eastAsia="zh-CN"/>
              </w:rPr>
            </w:pPr>
            <w:r>
              <w:rPr>
                <w:rFonts w:hint="eastAsia"/>
                <w:sz w:val="24"/>
                <w:szCs w:val="24"/>
                <w:highlight w:val="none"/>
                <w:lang w:val="en-US" w:eastAsia="zh-CN"/>
              </w:rPr>
              <w:t>28</w:t>
            </w:r>
          </w:p>
        </w:tc>
        <w:tc>
          <w:tcPr>
            <w:tcW w:w="2940" w:type="dxa"/>
            <w:noWrap w:val="0"/>
            <w:vAlign w:val="top"/>
          </w:tcPr>
          <w:p w14:paraId="32482D90">
            <w:pPr>
              <w:rPr>
                <w:rFonts w:hint="eastAsia" w:eastAsia="宋体"/>
                <w:sz w:val="24"/>
                <w:szCs w:val="24"/>
                <w:highlight w:val="none"/>
                <w:lang w:val="en-US" w:eastAsia="zh-CN"/>
              </w:rPr>
            </w:pPr>
            <w:r>
              <w:rPr>
                <w:rFonts w:hint="eastAsia" w:eastAsia="宋体"/>
                <w:sz w:val="24"/>
                <w:szCs w:val="24"/>
                <w:highlight w:val="none"/>
                <w:lang w:val="en-US" w:eastAsia="zh-CN"/>
              </w:rPr>
              <w:t>新加坡管理大学LLM项目</w:t>
            </w:r>
          </w:p>
        </w:tc>
        <w:tc>
          <w:tcPr>
            <w:tcW w:w="1482" w:type="dxa"/>
            <w:noWrap w:val="0"/>
            <w:vAlign w:val="top"/>
          </w:tcPr>
          <w:p w14:paraId="3D3678B7">
            <w:pPr>
              <w:pStyle w:val="6"/>
              <w:keepNext w:val="0"/>
              <w:keepLines w:val="0"/>
              <w:widowControl/>
              <w:suppressLineNumbers w:val="0"/>
              <w:spacing w:before="0" w:beforeAutospacing="0" w:after="0" w:afterAutospacing="0" w:line="21" w:lineRule="atLeast"/>
              <w:ind w:left="0" w:leftChars="0" w:right="0" w:rightChars="0"/>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秋季</w:t>
            </w:r>
            <w:r>
              <w:rPr>
                <w:rFonts w:hint="eastAsia"/>
                <w:sz w:val="24"/>
                <w:szCs w:val="24"/>
                <w:highlight w:val="none"/>
              </w:rPr>
              <w:t>入学，一学年</w:t>
            </w:r>
          </w:p>
        </w:tc>
        <w:tc>
          <w:tcPr>
            <w:tcW w:w="3076" w:type="dxa"/>
            <w:noWrap w:val="0"/>
            <w:vAlign w:val="top"/>
          </w:tcPr>
          <w:p w14:paraId="5468B92B">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r>
              <w:rPr>
                <w:rFonts w:hint="eastAsia"/>
                <w:sz w:val="24"/>
                <w:szCs w:val="24"/>
                <w:highlight w:val="none"/>
                <w:lang w:val="en-US" w:eastAsia="zh-CN"/>
              </w:rPr>
              <w:t>1.浙大每年可推荐本科生、硕士生、博士生、近3年本硕博毕业生至新大参加一年制LLM项目，包括本科生3+1、硕士生2+1/1+1、博士生N+1、近3年毕业生推荐就读等。</w:t>
            </w:r>
          </w:p>
          <w:p w14:paraId="059B2BC8">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r>
              <w:rPr>
                <w:rFonts w:hint="eastAsia"/>
                <w:sz w:val="24"/>
                <w:szCs w:val="24"/>
                <w:highlight w:val="none"/>
                <w:lang w:val="en-US" w:eastAsia="zh-CN"/>
              </w:rPr>
              <w:t>2.两年内有效的雅思6.5及以上，托福90及以上。</w:t>
            </w:r>
          </w:p>
        </w:tc>
        <w:tc>
          <w:tcPr>
            <w:tcW w:w="2610" w:type="dxa"/>
            <w:noWrap w:val="0"/>
            <w:vAlign w:val="top"/>
          </w:tcPr>
          <w:p w14:paraId="51B08407">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r>
              <w:rPr>
                <w:rFonts w:hint="eastAsia"/>
                <w:sz w:val="24"/>
                <w:szCs w:val="24"/>
                <w:highlight w:val="none"/>
                <w:lang w:val="en-US" w:eastAsia="zh-CN"/>
              </w:rPr>
              <w:t>至多4名浙大学生可享受新大4000新币学费减免。</w:t>
            </w:r>
          </w:p>
        </w:tc>
        <w:tc>
          <w:tcPr>
            <w:tcW w:w="1899" w:type="dxa"/>
            <w:noWrap w:val="0"/>
            <w:vAlign w:val="top"/>
          </w:tcPr>
          <w:p w14:paraId="2F7579A9">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sz w:val="24"/>
                <w:szCs w:val="24"/>
                <w:highlight w:val="none"/>
                <w:lang w:val="en-US" w:eastAsia="zh-CN"/>
              </w:rPr>
            </w:pPr>
          </w:p>
        </w:tc>
      </w:tr>
      <w:tr w14:paraId="44F2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7EFDBC75">
            <w:pPr>
              <w:rPr>
                <w:rFonts w:hint="default" w:eastAsia="宋体"/>
                <w:sz w:val="24"/>
                <w:szCs w:val="24"/>
                <w:highlight w:val="none"/>
                <w:lang w:val="en-US" w:eastAsia="zh-CN"/>
              </w:rPr>
            </w:pPr>
            <w:r>
              <w:rPr>
                <w:rFonts w:hint="eastAsia"/>
                <w:sz w:val="24"/>
                <w:szCs w:val="24"/>
                <w:highlight w:val="none"/>
                <w:lang w:val="en-US" w:eastAsia="zh-CN"/>
              </w:rPr>
              <w:t>29</w:t>
            </w:r>
          </w:p>
        </w:tc>
        <w:tc>
          <w:tcPr>
            <w:tcW w:w="2940" w:type="dxa"/>
            <w:noWrap w:val="0"/>
            <w:vAlign w:val="top"/>
          </w:tcPr>
          <w:p w14:paraId="5FAD45F5">
            <w:pPr>
              <w:rPr>
                <w:rFonts w:hint="default" w:eastAsia="宋体"/>
                <w:sz w:val="24"/>
                <w:szCs w:val="24"/>
                <w:highlight w:val="none"/>
                <w:lang w:val="en-US" w:eastAsia="zh-CN"/>
              </w:rPr>
            </w:pPr>
            <w:r>
              <w:rPr>
                <w:rFonts w:hint="eastAsia"/>
                <w:sz w:val="24"/>
                <w:szCs w:val="24"/>
                <w:highlight w:val="none"/>
                <w:lang w:val="en-US" w:eastAsia="zh-CN"/>
              </w:rPr>
              <w:t>南平国际仲裁院东盟分院实习项目（泰国）（预告）</w:t>
            </w:r>
          </w:p>
        </w:tc>
        <w:tc>
          <w:tcPr>
            <w:tcW w:w="1482" w:type="dxa"/>
            <w:noWrap w:val="0"/>
            <w:vAlign w:val="top"/>
          </w:tcPr>
          <w:p w14:paraId="0421A0E1">
            <w:pPr>
              <w:pStyle w:val="6"/>
              <w:keepNext w:val="0"/>
              <w:keepLines w:val="0"/>
              <w:widowControl/>
              <w:suppressLineNumbers w:val="0"/>
              <w:spacing w:before="0" w:beforeAutospacing="0" w:after="0" w:afterAutospacing="0" w:line="21" w:lineRule="atLeast"/>
              <w:ind w:left="0" w:leftChars="0" w:right="0" w:rightChars="0"/>
              <w:jc w:val="left"/>
              <w:rPr>
                <w:rFonts w:hint="default" w:ascii="Times New Roman" w:hAnsi="Times New Roman" w:eastAsia="宋体" w:cs="Times New Roman"/>
                <w:color w:val="auto"/>
                <w:sz w:val="24"/>
                <w:szCs w:val="24"/>
                <w:highlight w:val="none"/>
                <w:lang w:val="en-US" w:eastAsia="zh-CN"/>
              </w:rPr>
            </w:pPr>
          </w:p>
        </w:tc>
        <w:tc>
          <w:tcPr>
            <w:tcW w:w="3076" w:type="dxa"/>
            <w:noWrap w:val="0"/>
            <w:vAlign w:val="top"/>
          </w:tcPr>
          <w:p w14:paraId="03E12FAA">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p>
        </w:tc>
        <w:tc>
          <w:tcPr>
            <w:tcW w:w="2610" w:type="dxa"/>
            <w:noWrap w:val="0"/>
            <w:vAlign w:val="top"/>
          </w:tcPr>
          <w:p w14:paraId="61FDEB42">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p>
        </w:tc>
        <w:tc>
          <w:tcPr>
            <w:tcW w:w="1899" w:type="dxa"/>
            <w:noWrap w:val="0"/>
            <w:vAlign w:val="top"/>
          </w:tcPr>
          <w:p w14:paraId="1C1AAB06">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若有意向可先登记</w:t>
            </w:r>
          </w:p>
        </w:tc>
      </w:tr>
      <w:tr w14:paraId="348B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4157B6FD">
            <w:pPr>
              <w:rPr>
                <w:rFonts w:hint="default" w:eastAsia="宋体"/>
                <w:sz w:val="24"/>
                <w:szCs w:val="24"/>
                <w:highlight w:val="none"/>
                <w:lang w:val="en-US" w:eastAsia="zh-CN"/>
              </w:rPr>
            </w:pPr>
            <w:r>
              <w:rPr>
                <w:rFonts w:hint="eastAsia"/>
                <w:sz w:val="24"/>
                <w:szCs w:val="24"/>
                <w:highlight w:val="none"/>
                <w:lang w:val="en-US" w:eastAsia="zh-CN"/>
              </w:rPr>
              <w:t>30</w:t>
            </w:r>
          </w:p>
        </w:tc>
        <w:tc>
          <w:tcPr>
            <w:tcW w:w="2940" w:type="dxa"/>
            <w:noWrap w:val="0"/>
            <w:vAlign w:val="top"/>
          </w:tcPr>
          <w:p w14:paraId="70173372">
            <w:pPr>
              <w:rPr>
                <w:rFonts w:hint="default" w:eastAsia="宋体"/>
                <w:sz w:val="24"/>
                <w:szCs w:val="24"/>
                <w:highlight w:val="none"/>
                <w:lang w:val="en-US" w:eastAsia="zh-CN"/>
              </w:rPr>
            </w:pPr>
            <w:r>
              <w:rPr>
                <w:rFonts w:hint="eastAsia"/>
                <w:sz w:val="24"/>
                <w:szCs w:val="24"/>
                <w:highlight w:val="none"/>
                <w:lang w:val="en-US" w:eastAsia="zh-CN"/>
              </w:rPr>
              <w:t>泰国汉成律师事务所实习项目（预告）</w:t>
            </w:r>
          </w:p>
        </w:tc>
        <w:tc>
          <w:tcPr>
            <w:tcW w:w="1482" w:type="dxa"/>
            <w:noWrap w:val="0"/>
            <w:vAlign w:val="top"/>
          </w:tcPr>
          <w:p w14:paraId="7D4E97DA">
            <w:pPr>
              <w:pStyle w:val="6"/>
              <w:keepNext w:val="0"/>
              <w:keepLines w:val="0"/>
              <w:widowControl/>
              <w:suppressLineNumbers w:val="0"/>
              <w:spacing w:before="0" w:beforeAutospacing="0" w:after="0" w:afterAutospacing="0" w:line="21" w:lineRule="atLeast"/>
              <w:ind w:left="0" w:leftChars="0" w:right="0" w:rightChars="0"/>
              <w:jc w:val="left"/>
              <w:rPr>
                <w:rFonts w:hint="eastAsia" w:ascii="Times New Roman" w:hAnsi="Times New Roman" w:eastAsia="宋体" w:cs="Times New Roman"/>
                <w:color w:val="auto"/>
                <w:sz w:val="24"/>
                <w:szCs w:val="24"/>
                <w:highlight w:val="none"/>
              </w:rPr>
            </w:pPr>
          </w:p>
        </w:tc>
        <w:tc>
          <w:tcPr>
            <w:tcW w:w="3076" w:type="dxa"/>
            <w:noWrap w:val="0"/>
            <w:vAlign w:val="top"/>
          </w:tcPr>
          <w:p w14:paraId="2309763E">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p>
        </w:tc>
        <w:tc>
          <w:tcPr>
            <w:tcW w:w="2610" w:type="dxa"/>
            <w:noWrap w:val="0"/>
            <w:vAlign w:val="top"/>
          </w:tcPr>
          <w:p w14:paraId="7034D8DA">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p>
        </w:tc>
        <w:tc>
          <w:tcPr>
            <w:tcW w:w="1899" w:type="dxa"/>
            <w:noWrap w:val="0"/>
            <w:vAlign w:val="top"/>
          </w:tcPr>
          <w:p w14:paraId="0E73838F">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rPr>
            </w:pPr>
            <w:r>
              <w:rPr>
                <w:rFonts w:hint="eastAsia"/>
                <w:color w:val="000000"/>
                <w:sz w:val="24"/>
                <w:szCs w:val="24"/>
                <w:highlight w:val="none"/>
                <w:shd w:val="clear" w:color="auto" w:fill="FFFFFF"/>
                <w:lang w:val="en-US" w:eastAsia="zh-CN"/>
              </w:rPr>
              <w:t>若有意向可先登记</w:t>
            </w:r>
          </w:p>
        </w:tc>
      </w:tr>
      <w:tr w14:paraId="4A96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14:paraId="58E3BA82">
            <w:pPr>
              <w:rPr>
                <w:rFonts w:hint="default" w:eastAsia="宋体"/>
                <w:sz w:val="24"/>
                <w:szCs w:val="24"/>
                <w:highlight w:val="none"/>
                <w:lang w:val="en-US" w:eastAsia="zh-CN"/>
              </w:rPr>
            </w:pPr>
            <w:r>
              <w:rPr>
                <w:rFonts w:hint="eastAsia"/>
                <w:sz w:val="24"/>
                <w:szCs w:val="24"/>
                <w:highlight w:val="none"/>
                <w:lang w:val="en-US" w:eastAsia="zh-CN"/>
              </w:rPr>
              <w:t>31</w:t>
            </w:r>
          </w:p>
        </w:tc>
        <w:tc>
          <w:tcPr>
            <w:tcW w:w="2940" w:type="dxa"/>
            <w:noWrap w:val="0"/>
            <w:vAlign w:val="top"/>
          </w:tcPr>
          <w:p w14:paraId="4D85FCE0">
            <w:pPr>
              <w:rPr>
                <w:rFonts w:hint="default"/>
                <w:sz w:val="24"/>
                <w:szCs w:val="24"/>
                <w:highlight w:val="none"/>
                <w:lang w:val="en-US" w:eastAsia="zh-CN"/>
              </w:rPr>
            </w:pPr>
            <w:r>
              <w:rPr>
                <w:rFonts w:hint="eastAsia"/>
                <w:sz w:val="24"/>
                <w:szCs w:val="24"/>
                <w:highlight w:val="none"/>
                <w:lang w:val="en-US" w:eastAsia="zh-CN"/>
              </w:rPr>
              <w:t>大韩商事仲裁院实习项目（预告）</w:t>
            </w:r>
          </w:p>
        </w:tc>
        <w:tc>
          <w:tcPr>
            <w:tcW w:w="1482" w:type="dxa"/>
            <w:noWrap w:val="0"/>
            <w:vAlign w:val="top"/>
          </w:tcPr>
          <w:p w14:paraId="46A03586">
            <w:pPr>
              <w:pStyle w:val="6"/>
              <w:keepNext w:val="0"/>
              <w:keepLines w:val="0"/>
              <w:widowControl/>
              <w:suppressLineNumbers w:val="0"/>
              <w:spacing w:before="0" w:beforeAutospacing="0" w:after="0" w:afterAutospacing="0" w:line="21" w:lineRule="atLeast"/>
              <w:ind w:left="0" w:leftChars="0" w:right="0" w:rightChars="0"/>
              <w:jc w:val="left"/>
              <w:rPr>
                <w:rFonts w:hint="eastAsia" w:ascii="Times New Roman" w:hAnsi="Times New Roman" w:eastAsia="宋体" w:cs="Times New Roman"/>
                <w:color w:val="auto"/>
                <w:sz w:val="24"/>
                <w:szCs w:val="24"/>
                <w:highlight w:val="none"/>
              </w:rPr>
            </w:pPr>
          </w:p>
        </w:tc>
        <w:tc>
          <w:tcPr>
            <w:tcW w:w="3076" w:type="dxa"/>
            <w:noWrap w:val="0"/>
            <w:vAlign w:val="top"/>
          </w:tcPr>
          <w:p w14:paraId="338F12C9">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p>
        </w:tc>
        <w:tc>
          <w:tcPr>
            <w:tcW w:w="2610" w:type="dxa"/>
            <w:noWrap w:val="0"/>
            <w:vAlign w:val="top"/>
          </w:tcPr>
          <w:p w14:paraId="13322FBE">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p>
        </w:tc>
        <w:tc>
          <w:tcPr>
            <w:tcW w:w="1899" w:type="dxa"/>
            <w:noWrap w:val="0"/>
            <w:vAlign w:val="top"/>
          </w:tcPr>
          <w:p w14:paraId="4730F0BB">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若有意向可先登记</w:t>
            </w:r>
          </w:p>
        </w:tc>
      </w:tr>
      <w:bookmarkEnd w:id="2"/>
    </w:tbl>
    <w:p w14:paraId="2E6819B4">
      <w:pPr>
        <w:widowControl w:val="0"/>
        <w:numPr>
          <w:ilvl w:val="0"/>
          <w:numId w:val="0"/>
        </w:numPr>
        <w:jc w:val="both"/>
        <w:rPr>
          <w:rFonts w:hint="default"/>
          <w:sz w:val="24"/>
          <w:szCs w:val="24"/>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0FC85"/>
    <w:multiLevelType w:val="singleLevel"/>
    <w:tmpl w:val="9780FC85"/>
    <w:lvl w:ilvl="0" w:tentative="0">
      <w:start w:val="1"/>
      <w:numFmt w:val="decimal"/>
      <w:lvlText w:val="%1."/>
      <w:lvlJc w:val="left"/>
      <w:pPr>
        <w:tabs>
          <w:tab w:val="left" w:pos="312"/>
        </w:tabs>
      </w:pPr>
    </w:lvl>
  </w:abstractNum>
  <w:abstractNum w:abstractNumId="1">
    <w:nsid w:val="EE19CF98"/>
    <w:multiLevelType w:val="singleLevel"/>
    <w:tmpl w:val="EE19CF98"/>
    <w:lvl w:ilvl="0" w:tentative="0">
      <w:start w:val="1"/>
      <w:numFmt w:val="decimal"/>
      <w:lvlText w:val="%1."/>
      <w:lvlJc w:val="left"/>
      <w:pPr>
        <w:tabs>
          <w:tab w:val="left" w:pos="312"/>
        </w:tabs>
      </w:pPr>
    </w:lvl>
  </w:abstractNum>
  <w:abstractNum w:abstractNumId="2">
    <w:nsid w:val="F1A02F42"/>
    <w:multiLevelType w:val="singleLevel"/>
    <w:tmpl w:val="F1A02F42"/>
    <w:lvl w:ilvl="0" w:tentative="0">
      <w:start w:val="1"/>
      <w:numFmt w:val="decimal"/>
      <w:lvlText w:val="%1."/>
      <w:lvlJc w:val="left"/>
      <w:pPr>
        <w:tabs>
          <w:tab w:val="left" w:pos="312"/>
        </w:tabs>
      </w:pPr>
    </w:lvl>
  </w:abstractNum>
  <w:abstractNum w:abstractNumId="3">
    <w:nsid w:val="20A67BAE"/>
    <w:multiLevelType w:val="multilevel"/>
    <w:tmpl w:val="20A67BAE"/>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39845FCE"/>
    <w:multiLevelType w:val="singleLevel"/>
    <w:tmpl w:val="39845FCE"/>
    <w:lvl w:ilvl="0" w:tentative="0">
      <w:start w:val="1"/>
      <w:numFmt w:val="decimal"/>
      <w:suff w:val="space"/>
      <w:lvlText w:val="%1."/>
      <w:lvlJc w:val="left"/>
    </w:lvl>
  </w:abstractNum>
  <w:abstractNum w:abstractNumId="5">
    <w:nsid w:val="43FD173E"/>
    <w:multiLevelType w:val="multilevel"/>
    <w:tmpl w:val="43FD173E"/>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6ED00161"/>
    <w:multiLevelType w:val="singleLevel"/>
    <w:tmpl w:val="6ED00161"/>
    <w:lvl w:ilvl="0" w:tentative="0">
      <w:start w:val="1"/>
      <w:numFmt w:val="decimal"/>
      <w:suff w:val="space"/>
      <w:lvlText w:val="%1."/>
      <w:lvlJc w:val="left"/>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TA4ZjU1YTc2OTQ4NjIzMDVlMGQ4MmNmZWU1NzYifQ=="/>
    <w:docVar w:name="KSO_WPS_MARK_KEY" w:val="8faa6efd-6b8e-481a-96ec-e12f3cc8562a"/>
  </w:docVars>
  <w:rsids>
    <w:rsidRoot w:val="00172A27"/>
    <w:rsid w:val="000033AF"/>
    <w:rsid w:val="00040D6C"/>
    <w:rsid w:val="000546BB"/>
    <w:rsid w:val="000B0F1A"/>
    <w:rsid w:val="000F2370"/>
    <w:rsid w:val="000F5492"/>
    <w:rsid w:val="00135636"/>
    <w:rsid w:val="001416B2"/>
    <w:rsid w:val="0014755B"/>
    <w:rsid w:val="00164411"/>
    <w:rsid w:val="00172CE3"/>
    <w:rsid w:val="001B67FE"/>
    <w:rsid w:val="001D5FB8"/>
    <w:rsid w:val="00202B55"/>
    <w:rsid w:val="00242BF0"/>
    <w:rsid w:val="002A51BB"/>
    <w:rsid w:val="00391B89"/>
    <w:rsid w:val="003B2B3F"/>
    <w:rsid w:val="003C1C34"/>
    <w:rsid w:val="004153FC"/>
    <w:rsid w:val="0044115C"/>
    <w:rsid w:val="0049068C"/>
    <w:rsid w:val="004E0880"/>
    <w:rsid w:val="00502AF1"/>
    <w:rsid w:val="00520F74"/>
    <w:rsid w:val="00585B7C"/>
    <w:rsid w:val="00602EA4"/>
    <w:rsid w:val="006511D1"/>
    <w:rsid w:val="00653056"/>
    <w:rsid w:val="006C5275"/>
    <w:rsid w:val="00705E55"/>
    <w:rsid w:val="0079456A"/>
    <w:rsid w:val="007F1C63"/>
    <w:rsid w:val="007F3F0B"/>
    <w:rsid w:val="00831410"/>
    <w:rsid w:val="008B2039"/>
    <w:rsid w:val="008D6C62"/>
    <w:rsid w:val="00911620"/>
    <w:rsid w:val="00A0769C"/>
    <w:rsid w:val="00A427C7"/>
    <w:rsid w:val="00A46FB2"/>
    <w:rsid w:val="00A53390"/>
    <w:rsid w:val="00A85319"/>
    <w:rsid w:val="00A91D7A"/>
    <w:rsid w:val="00AA30B6"/>
    <w:rsid w:val="00AA33A1"/>
    <w:rsid w:val="00B21FC7"/>
    <w:rsid w:val="00B22CAF"/>
    <w:rsid w:val="00B67A3D"/>
    <w:rsid w:val="00B7444E"/>
    <w:rsid w:val="00B83152"/>
    <w:rsid w:val="00BD3E1F"/>
    <w:rsid w:val="00BE1AD9"/>
    <w:rsid w:val="00C712D9"/>
    <w:rsid w:val="00C97456"/>
    <w:rsid w:val="00CA3A2A"/>
    <w:rsid w:val="00CB5DAD"/>
    <w:rsid w:val="00D00A2D"/>
    <w:rsid w:val="00D077B6"/>
    <w:rsid w:val="00D1717E"/>
    <w:rsid w:val="00D6030D"/>
    <w:rsid w:val="00D62F66"/>
    <w:rsid w:val="00DD2E2D"/>
    <w:rsid w:val="00E20313"/>
    <w:rsid w:val="00E51908"/>
    <w:rsid w:val="00E74715"/>
    <w:rsid w:val="00ED7618"/>
    <w:rsid w:val="00F677D3"/>
    <w:rsid w:val="00FA67CC"/>
    <w:rsid w:val="00FA752B"/>
    <w:rsid w:val="00FA7E73"/>
    <w:rsid w:val="00FB2FEE"/>
    <w:rsid w:val="00FB719A"/>
    <w:rsid w:val="00FC543F"/>
    <w:rsid w:val="00FD2F3D"/>
    <w:rsid w:val="00FE5B38"/>
    <w:rsid w:val="010130C1"/>
    <w:rsid w:val="01057174"/>
    <w:rsid w:val="018C1643"/>
    <w:rsid w:val="01E821F3"/>
    <w:rsid w:val="02E74303"/>
    <w:rsid w:val="04B0389B"/>
    <w:rsid w:val="04DD5D12"/>
    <w:rsid w:val="065F7A31"/>
    <w:rsid w:val="06FBE453"/>
    <w:rsid w:val="07120D45"/>
    <w:rsid w:val="071D4AEC"/>
    <w:rsid w:val="07943000"/>
    <w:rsid w:val="08AA23AF"/>
    <w:rsid w:val="08C90A87"/>
    <w:rsid w:val="0A777321"/>
    <w:rsid w:val="0AFA5870"/>
    <w:rsid w:val="0B220922"/>
    <w:rsid w:val="0B980BE5"/>
    <w:rsid w:val="0C4F5747"/>
    <w:rsid w:val="0CAD6100"/>
    <w:rsid w:val="0D4032E2"/>
    <w:rsid w:val="0D7A4A46"/>
    <w:rsid w:val="0D906017"/>
    <w:rsid w:val="1025513D"/>
    <w:rsid w:val="10B822AE"/>
    <w:rsid w:val="10D54B50"/>
    <w:rsid w:val="114E06C3"/>
    <w:rsid w:val="115505F4"/>
    <w:rsid w:val="11665A0D"/>
    <w:rsid w:val="129465AA"/>
    <w:rsid w:val="13A74772"/>
    <w:rsid w:val="14D94748"/>
    <w:rsid w:val="15CA4090"/>
    <w:rsid w:val="164E7EC0"/>
    <w:rsid w:val="16C3745D"/>
    <w:rsid w:val="17FE0893"/>
    <w:rsid w:val="19B66E06"/>
    <w:rsid w:val="19C239FC"/>
    <w:rsid w:val="1A3E7845"/>
    <w:rsid w:val="1E2B0F27"/>
    <w:rsid w:val="1F925B55"/>
    <w:rsid w:val="1FB5156C"/>
    <w:rsid w:val="1FC23961"/>
    <w:rsid w:val="201C198C"/>
    <w:rsid w:val="219D08AB"/>
    <w:rsid w:val="22157887"/>
    <w:rsid w:val="22FF3808"/>
    <w:rsid w:val="23737B15"/>
    <w:rsid w:val="24FC71F0"/>
    <w:rsid w:val="25787665"/>
    <w:rsid w:val="25C14AF9"/>
    <w:rsid w:val="260853DA"/>
    <w:rsid w:val="27213728"/>
    <w:rsid w:val="27962024"/>
    <w:rsid w:val="27DD4DE5"/>
    <w:rsid w:val="281178FD"/>
    <w:rsid w:val="2AAA4765"/>
    <w:rsid w:val="2AC5334C"/>
    <w:rsid w:val="2B7B3A0B"/>
    <w:rsid w:val="2D43252E"/>
    <w:rsid w:val="2D9FBCBD"/>
    <w:rsid w:val="2DD45655"/>
    <w:rsid w:val="2EBE7115"/>
    <w:rsid w:val="2ED3DF96"/>
    <w:rsid w:val="2EE144CD"/>
    <w:rsid w:val="2F6F4604"/>
    <w:rsid w:val="2FDE27BA"/>
    <w:rsid w:val="30534F57"/>
    <w:rsid w:val="305B02AF"/>
    <w:rsid w:val="30BC0D4E"/>
    <w:rsid w:val="31325BDD"/>
    <w:rsid w:val="31A55C86"/>
    <w:rsid w:val="32026C34"/>
    <w:rsid w:val="3304078A"/>
    <w:rsid w:val="335C6286"/>
    <w:rsid w:val="34A73AC3"/>
    <w:rsid w:val="357A4D33"/>
    <w:rsid w:val="37CD3840"/>
    <w:rsid w:val="3821593A"/>
    <w:rsid w:val="38521F98"/>
    <w:rsid w:val="39F01A68"/>
    <w:rsid w:val="3A274B74"/>
    <w:rsid w:val="3A5C534F"/>
    <w:rsid w:val="3B5B1163"/>
    <w:rsid w:val="3CD8637B"/>
    <w:rsid w:val="3D2F4655"/>
    <w:rsid w:val="3D546FC1"/>
    <w:rsid w:val="3D842BF3"/>
    <w:rsid w:val="3E155F41"/>
    <w:rsid w:val="3E682515"/>
    <w:rsid w:val="3EB72275"/>
    <w:rsid w:val="3EE31B9B"/>
    <w:rsid w:val="3EE71313"/>
    <w:rsid w:val="3F68157E"/>
    <w:rsid w:val="3FEF169F"/>
    <w:rsid w:val="414E7C36"/>
    <w:rsid w:val="417E5BAB"/>
    <w:rsid w:val="41F1637D"/>
    <w:rsid w:val="41FB36A0"/>
    <w:rsid w:val="43122A4F"/>
    <w:rsid w:val="441D78FE"/>
    <w:rsid w:val="447C0AC8"/>
    <w:rsid w:val="44BA514C"/>
    <w:rsid w:val="44D02BC2"/>
    <w:rsid w:val="44D2693A"/>
    <w:rsid w:val="44E421C9"/>
    <w:rsid w:val="45014B29"/>
    <w:rsid w:val="45141308"/>
    <w:rsid w:val="452847AC"/>
    <w:rsid w:val="45BE6EBE"/>
    <w:rsid w:val="4A2F7911"/>
    <w:rsid w:val="4A6D55B3"/>
    <w:rsid w:val="4A6F2116"/>
    <w:rsid w:val="4B1B2ECF"/>
    <w:rsid w:val="4B7A4466"/>
    <w:rsid w:val="4B993318"/>
    <w:rsid w:val="4B9A1834"/>
    <w:rsid w:val="4CCB3F95"/>
    <w:rsid w:val="4E723BAD"/>
    <w:rsid w:val="4EC07803"/>
    <w:rsid w:val="4F5B577E"/>
    <w:rsid w:val="519F5DF6"/>
    <w:rsid w:val="523E50CC"/>
    <w:rsid w:val="526861E8"/>
    <w:rsid w:val="52737264"/>
    <w:rsid w:val="52E42E1E"/>
    <w:rsid w:val="537423D1"/>
    <w:rsid w:val="5449382B"/>
    <w:rsid w:val="557468AB"/>
    <w:rsid w:val="562D263B"/>
    <w:rsid w:val="567673B8"/>
    <w:rsid w:val="569D1CF6"/>
    <w:rsid w:val="582C0159"/>
    <w:rsid w:val="58DF11CE"/>
    <w:rsid w:val="591075D9"/>
    <w:rsid w:val="5A3C5119"/>
    <w:rsid w:val="5A5C06B9"/>
    <w:rsid w:val="5A896A83"/>
    <w:rsid w:val="5B262DEE"/>
    <w:rsid w:val="5B6B0AF7"/>
    <w:rsid w:val="5BEA4348"/>
    <w:rsid w:val="5C6B34A4"/>
    <w:rsid w:val="5C6F4617"/>
    <w:rsid w:val="5D284EF1"/>
    <w:rsid w:val="5D5F468B"/>
    <w:rsid w:val="5DB70023"/>
    <w:rsid w:val="5EDC2437"/>
    <w:rsid w:val="5F261904"/>
    <w:rsid w:val="5F2970BE"/>
    <w:rsid w:val="5F3FFDEB"/>
    <w:rsid w:val="5F8D0945"/>
    <w:rsid w:val="5FCC24AC"/>
    <w:rsid w:val="5FF78DAD"/>
    <w:rsid w:val="5FF87150"/>
    <w:rsid w:val="5FF92B75"/>
    <w:rsid w:val="61760322"/>
    <w:rsid w:val="61994610"/>
    <w:rsid w:val="631F6D97"/>
    <w:rsid w:val="63422A85"/>
    <w:rsid w:val="638F7C65"/>
    <w:rsid w:val="64DB4F3F"/>
    <w:rsid w:val="65622F6B"/>
    <w:rsid w:val="65B86875"/>
    <w:rsid w:val="667940D4"/>
    <w:rsid w:val="66C814F3"/>
    <w:rsid w:val="674212A6"/>
    <w:rsid w:val="691722BE"/>
    <w:rsid w:val="69786F9E"/>
    <w:rsid w:val="6A611A43"/>
    <w:rsid w:val="6B202B14"/>
    <w:rsid w:val="6B820C26"/>
    <w:rsid w:val="6BF7736A"/>
    <w:rsid w:val="6D7F4B2B"/>
    <w:rsid w:val="6D837F22"/>
    <w:rsid w:val="6DAB01FE"/>
    <w:rsid w:val="6DB93944"/>
    <w:rsid w:val="6DBB76BC"/>
    <w:rsid w:val="6E0E0EB5"/>
    <w:rsid w:val="6E11552E"/>
    <w:rsid w:val="6F9B4D7A"/>
    <w:rsid w:val="707D6EAA"/>
    <w:rsid w:val="70A95EF1"/>
    <w:rsid w:val="719D783B"/>
    <w:rsid w:val="71C50B09"/>
    <w:rsid w:val="72362359"/>
    <w:rsid w:val="72730565"/>
    <w:rsid w:val="72F82E81"/>
    <w:rsid w:val="73F96D80"/>
    <w:rsid w:val="7499627D"/>
    <w:rsid w:val="754E350B"/>
    <w:rsid w:val="777D880D"/>
    <w:rsid w:val="77BD2134"/>
    <w:rsid w:val="77E85551"/>
    <w:rsid w:val="785901FD"/>
    <w:rsid w:val="789C633C"/>
    <w:rsid w:val="792C5912"/>
    <w:rsid w:val="7A9F5A52"/>
    <w:rsid w:val="7BB21E9A"/>
    <w:rsid w:val="7C305719"/>
    <w:rsid w:val="7C43369E"/>
    <w:rsid w:val="7C703D67"/>
    <w:rsid w:val="7E5E656D"/>
    <w:rsid w:val="7E81400A"/>
    <w:rsid w:val="7ED74A27"/>
    <w:rsid w:val="7F1503B1"/>
    <w:rsid w:val="7F7DB4E2"/>
    <w:rsid w:val="7F811112"/>
    <w:rsid w:val="977C119A"/>
    <w:rsid w:val="ABFC052C"/>
    <w:rsid w:val="BDEE7DFA"/>
    <w:rsid w:val="BDFF6366"/>
    <w:rsid w:val="DEBFCD79"/>
    <w:rsid w:val="DEF52CA8"/>
    <w:rsid w:val="DFAFCAF6"/>
    <w:rsid w:val="DFE1E8CC"/>
    <w:rsid w:val="E1BF5944"/>
    <w:rsid w:val="F4BF442D"/>
    <w:rsid w:val="F5DFA1EC"/>
    <w:rsid w:val="F7B91432"/>
    <w:rsid w:val="F99E39AA"/>
    <w:rsid w:val="F9DB7D04"/>
    <w:rsid w:val="FDB78E17"/>
    <w:rsid w:val="FE7B6CAC"/>
    <w:rsid w:val="FF9FCE1C"/>
    <w:rsid w:val="FFDDAEB9"/>
    <w:rsid w:val="FFDF25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link w:val="18"/>
    <w:autoRedefine/>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0" w:beforeAutospacing="0" w:after="150" w:afterAutospacing="0"/>
      <w:ind w:left="0" w:right="0"/>
      <w:jc w:val="left"/>
    </w:pPr>
    <w:rPr>
      <w:kern w:val="0"/>
      <w:sz w:val="24"/>
      <w:lang w:val="en-US" w:eastAsia="zh-CN" w:bidi="ar"/>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rPr>
  </w:style>
  <w:style w:type="character" w:styleId="11">
    <w:name w:val="FollowedHyperlink"/>
    <w:basedOn w:val="9"/>
    <w:autoRedefine/>
    <w:unhideWhenUsed/>
    <w:qFormat/>
    <w:uiPriority w:val="99"/>
    <w:rPr>
      <w:color w:val="800000"/>
      <w:u w:val="none"/>
    </w:rPr>
  </w:style>
  <w:style w:type="character" w:styleId="12">
    <w:name w:val="HTML Definition"/>
    <w:basedOn w:val="9"/>
    <w:autoRedefine/>
    <w:unhideWhenUsed/>
    <w:qFormat/>
    <w:uiPriority w:val="99"/>
    <w:rPr>
      <w:i/>
    </w:rPr>
  </w:style>
  <w:style w:type="character" w:styleId="13">
    <w:name w:val="Hyperlink"/>
    <w:basedOn w:val="9"/>
    <w:autoRedefine/>
    <w:unhideWhenUsed/>
    <w:qFormat/>
    <w:uiPriority w:val="99"/>
    <w:rPr>
      <w:color w:val="800000"/>
      <w:u w:val="none"/>
    </w:rPr>
  </w:style>
  <w:style w:type="character" w:styleId="14">
    <w:name w:val="HTML Code"/>
    <w:basedOn w:val="9"/>
    <w:autoRedefine/>
    <w:unhideWhenUsed/>
    <w:qFormat/>
    <w:uiPriority w:val="99"/>
    <w:rPr>
      <w:rFonts w:hint="default" w:ascii="Consolas" w:hAnsi="Consolas" w:eastAsia="Consolas" w:cs="Consolas"/>
      <w:color w:val="C7254E"/>
      <w:sz w:val="21"/>
      <w:szCs w:val="21"/>
      <w:shd w:val="clear" w:color="auto" w:fill="F9F2F4"/>
    </w:rPr>
  </w:style>
  <w:style w:type="character" w:styleId="15">
    <w:name w:val="annotation reference"/>
    <w:basedOn w:val="9"/>
    <w:autoRedefine/>
    <w:unhideWhenUsed/>
    <w:qFormat/>
    <w:uiPriority w:val="99"/>
    <w:rPr>
      <w:sz w:val="21"/>
      <w:szCs w:val="21"/>
    </w:rPr>
  </w:style>
  <w:style w:type="character" w:styleId="16">
    <w:name w:val="HTML Keyboard"/>
    <w:basedOn w:val="9"/>
    <w:autoRedefine/>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9"/>
    <w:autoRedefine/>
    <w:unhideWhenUsed/>
    <w:qFormat/>
    <w:uiPriority w:val="99"/>
    <w:rPr>
      <w:rFonts w:ascii="Consolas" w:hAnsi="Consolas" w:eastAsia="Consolas" w:cs="Consolas"/>
      <w:sz w:val="21"/>
      <w:szCs w:val="21"/>
    </w:rPr>
  </w:style>
  <w:style w:type="character" w:customStyle="1" w:styleId="18">
    <w:name w:val="批注框文本 Char"/>
    <w:basedOn w:val="9"/>
    <w:link w:val="3"/>
    <w:autoRedefine/>
    <w:semiHidden/>
    <w:qFormat/>
    <w:uiPriority w:val="99"/>
    <w:rPr>
      <w:kern w:val="2"/>
      <w:sz w:val="18"/>
      <w:szCs w:val="18"/>
    </w:rPr>
  </w:style>
  <w:style w:type="character" w:customStyle="1" w:styleId="19">
    <w:name w:val="页脚 Char"/>
    <w:basedOn w:val="9"/>
    <w:link w:val="4"/>
    <w:autoRedefine/>
    <w:semiHidden/>
    <w:qFormat/>
    <w:uiPriority w:val="99"/>
    <w:rPr>
      <w:sz w:val="18"/>
      <w:szCs w:val="18"/>
    </w:rPr>
  </w:style>
  <w:style w:type="character" w:customStyle="1" w:styleId="20">
    <w:name w:val="页眉 Char"/>
    <w:basedOn w:val="9"/>
    <w:link w:val="5"/>
    <w:autoRedefine/>
    <w:semiHidden/>
    <w:qFormat/>
    <w:uiPriority w:val="99"/>
    <w:rPr>
      <w:sz w:val="18"/>
      <w:szCs w:val="18"/>
    </w:rPr>
  </w:style>
  <w:style w:type="character" w:customStyle="1" w:styleId="21">
    <w:name w:val="more_sit"/>
    <w:basedOn w:val="9"/>
    <w:autoRedefine/>
    <w:qFormat/>
    <w:uiPriority w:val="0"/>
  </w:style>
  <w:style w:type="character" w:customStyle="1" w:styleId="22">
    <w:name w:val="mod_ttile"/>
    <w:basedOn w:val="9"/>
    <w:autoRedefine/>
    <w:qFormat/>
    <w:uiPriority w:val="0"/>
  </w:style>
  <w:style w:type="character" w:customStyle="1" w:styleId="23">
    <w:name w:val="apple-converted-space"/>
    <w:basedOn w:val="9"/>
    <w:autoRedefine/>
    <w:qFormat/>
    <w:uiPriority w:val="0"/>
  </w:style>
  <w:style w:type="character" w:customStyle="1" w:styleId="24">
    <w:name w:val="pubdate-month"/>
    <w:basedOn w:val="9"/>
    <w:autoRedefine/>
    <w:qFormat/>
    <w:uiPriority w:val="0"/>
    <w:rPr>
      <w:color w:val="FFFFFF"/>
      <w:sz w:val="24"/>
      <w:szCs w:val="24"/>
      <w:shd w:val="clear" w:color="auto" w:fill="CC0000"/>
    </w:rPr>
  </w:style>
  <w:style w:type="character" w:customStyle="1" w:styleId="25">
    <w:name w:val="news_tit_cn"/>
    <w:basedOn w:val="9"/>
    <w:autoRedefine/>
    <w:qFormat/>
    <w:uiPriority w:val="0"/>
    <w:rPr>
      <w:color w:val="800000"/>
      <w:sz w:val="27"/>
      <w:szCs w:val="27"/>
    </w:rPr>
  </w:style>
  <w:style w:type="character" w:customStyle="1" w:styleId="26">
    <w:name w:val="links-name2"/>
    <w:basedOn w:val="9"/>
    <w:autoRedefine/>
    <w:qFormat/>
    <w:uiPriority w:val="0"/>
    <w:rPr>
      <w:color w:val="000000"/>
    </w:rPr>
  </w:style>
  <w:style w:type="character" w:customStyle="1" w:styleId="27">
    <w:name w:val="addr"/>
    <w:basedOn w:val="9"/>
    <w:autoRedefine/>
    <w:qFormat/>
    <w:uiPriority w:val="0"/>
  </w:style>
  <w:style w:type="character" w:customStyle="1" w:styleId="28">
    <w:name w:val="item-name1"/>
    <w:basedOn w:val="9"/>
    <w:autoRedefine/>
    <w:qFormat/>
    <w:uiPriority w:val="0"/>
  </w:style>
  <w:style w:type="character" w:customStyle="1" w:styleId="29">
    <w:name w:val="item-name"/>
    <w:basedOn w:val="9"/>
    <w:autoRedefine/>
    <w:qFormat/>
    <w:uiPriority w:val="0"/>
  </w:style>
  <w:style w:type="character" w:customStyle="1" w:styleId="30">
    <w:name w:val="pubdate-day"/>
    <w:basedOn w:val="9"/>
    <w:autoRedefine/>
    <w:qFormat/>
    <w:uiPriority w:val="0"/>
    <w:rPr>
      <w:shd w:val="clear" w:color="auto" w:fill="F2F2F2"/>
    </w:rPr>
  </w:style>
  <w:style w:type="paragraph" w:customStyle="1" w:styleId="31">
    <w:name w:val="列出段落1"/>
    <w:basedOn w:val="1"/>
    <w:autoRedefine/>
    <w:qFormat/>
    <w:uiPriority w:val="34"/>
    <w:pPr>
      <w:ind w:firstLine="420" w:firstLineChars="200"/>
    </w:pPr>
  </w:style>
  <w:style w:type="paragraph" w:styleId="32">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4167</Words>
  <Characters>4715</Characters>
  <Lines>22</Lines>
  <Paragraphs>6</Paragraphs>
  <TotalTime>24</TotalTime>
  <ScaleCrop>false</ScaleCrop>
  <LinksUpToDate>false</LinksUpToDate>
  <CharactersWithSpaces>4732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2020-03-18T10:38:00Z</dcterms:created>
  <dc:creator>HP</dc:creator>
  <cp:lastModifiedBy>Administrator</cp:lastModifiedBy>
  <cp:lastPrinted>2017-03-08T07:01:00Z</cp:lastPrinted>
  <dcterms:modified xsi:type="dcterms:W3CDTF">2024-09-12T08:25:36Z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D39669519FFB4A0887C5EB44AEF6D326_13</vt:lpwstr>
  </property>
</Properties>
</file>