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3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1276"/>
        <w:gridCol w:w="311"/>
        <w:gridCol w:w="2866"/>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Pr>
          <w:p>
            <w:pPr>
              <w:rPr>
                <w:b/>
                <w:sz w:val="24"/>
                <w:szCs w:val="24"/>
              </w:rPr>
            </w:pPr>
            <w:bookmarkStart w:id="0" w:name="_GoBack"/>
            <w:bookmarkEnd w:id="0"/>
          </w:p>
        </w:tc>
        <w:tc>
          <w:tcPr>
            <w:tcW w:w="1418" w:type="dxa"/>
          </w:tcPr>
          <w:p>
            <w:pPr>
              <w:jc w:val="center"/>
              <w:rPr>
                <w:b/>
                <w:sz w:val="24"/>
                <w:szCs w:val="24"/>
              </w:rPr>
            </w:pPr>
            <w:r>
              <w:rPr>
                <w:b/>
                <w:sz w:val="24"/>
                <w:szCs w:val="24"/>
              </w:rPr>
              <w:t>项目名称</w:t>
            </w:r>
          </w:p>
        </w:tc>
        <w:tc>
          <w:tcPr>
            <w:tcW w:w="1587" w:type="dxa"/>
            <w:gridSpan w:val="2"/>
          </w:tcPr>
          <w:p>
            <w:pPr>
              <w:jc w:val="center"/>
              <w:rPr>
                <w:b/>
                <w:sz w:val="24"/>
                <w:szCs w:val="24"/>
              </w:rPr>
            </w:pPr>
            <w:r>
              <w:rPr>
                <w:b/>
                <w:sz w:val="24"/>
                <w:szCs w:val="24"/>
              </w:rPr>
              <w:t>项目时间</w:t>
            </w:r>
          </w:p>
        </w:tc>
        <w:tc>
          <w:tcPr>
            <w:tcW w:w="2866" w:type="dxa"/>
          </w:tcPr>
          <w:p>
            <w:pPr>
              <w:ind w:firstLine="236" w:firstLineChars="98"/>
              <w:jc w:val="center"/>
              <w:rPr>
                <w:b/>
                <w:sz w:val="24"/>
                <w:szCs w:val="24"/>
              </w:rPr>
            </w:pPr>
            <w:r>
              <w:rPr>
                <w:b/>
                <w:sz w:val="24"/>
                <w:szCs w:val="24"/>
              </w:rPr>
              <w:t>项目要求</w:t>
            </w:r>
          </w:p>
        </w:tc>
        <w:tc>
          <w:tcPr>
            <w:tcW w:w="2493" w:type="dxa"/>
          </w:tcPr>
          <w:p>
            <w:pPr>
              <w:jc w:val="center"/>
              <w:rPr>
                <w:b/>
                <w:sz w:val="24"/>
                <w:szCs w:val="24"/>
              </w:rPr>
            </w:pPr>
            <w:r>
              <w:rPr>
                <w:b/>
                <w:sz w:val="24"/>
                <w:szCs w:val="24"/>
              </w:rPr>
              <w:t>项目费用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eastAsiaTheme="minorEastAsia"/>
                <w:sz w:val="24"/>
                <w:szCs w:val="24"/>
                <w:lang w:val="en-US" w:eastAsia="zh-CN"/>
              </w:rPr>
            </w:pPr>
            <w:r>
              <w:rPr>
                <w:rFonts w:hint="eastAsia"/>
                <w:sz w:val="24"/>
                <w:szCs w:val="24"/>
                <w:lang w:val="en-US" w:eastAsia="zh-CN"/>
              </w:rPr>
              <w:t>1</w:t>
            </w:r>
          </w:p>
        </w:tc>
        <w:tc>
          <w:tcPr>
            <w:tcW w:w="1418" w:type="dxa"/>
          </w:tcPr>
          <w:p>
            <w:pPr>
              <w:rPr>
                <w:sz w:val="24"/>
                <w:szCs w:val="24"/>
              </w:rPr>
            </w:pPr>
            <w:r>
              <w:rPr>
                <w:rFonts w:hint="eastAsia"/>
                <w:sz w:val="24"/>
                <w:szCs w:val="24"/>
              </w:rPr>
              <w:t>悉尼大学法学院学位项目</w:t>
            </w:r>
          </w:p>
        </w:tc>
        <w:tc>
          <w:tcPr>
            <w:tcW w:w="1587" w:type="dxa"/>
            <w:gridSpan w:val="2"/>
          </w:tcPr>
          <w:p>
            <w:pPr>
              <w:rPr>
                <w:sz w:val="24"/>
                <w:szCs w:val="24"/>
              </w:rPr>
            </w:pPr>
            <w:r>
              <w:rPr>
                <w:rFonts w:hint="eastAsia"/>
                <w:sz w:val="24"/>
                <w:szCs w:val="24"/>
                <w:lang w:val="en-US" w:eastAsia="zh-CN"/>
              </w:rPr>
              <w:t>秋季或</w:t>
            </w:r>
            <w:r>
              <w:rPr>
                <w:rFonts w:hint="eastAsia"/>
                <w:sz w:val="24"/>
                <w:szCs w:val="24"/>
              </w:rPr>
              <w:t>春季入学，每年至多10个名额</w:t>
            </w:r>
          </w:p>
        </w:tc>
        <w:tc>
          <w:tcPr>
            <w:tcW w:w="2866" w:type="dxa"/>
          </w:tcPr>
          <w:p>
            <w:pPr>
              <w:rPr>
                <w:sz w:val="24"/>
                <w:szCs w:val="24"/>
              </w:rPr>
            </w:pPr>
            <w:r>
              <w:rPr>
                <w:rFonts w:hint="eastAsia"/>
                <w:sz w:val="24"/>
                <w:szCs w:val="24"/>
              </w:rPr>
              <w:t>1</w:t>
            </w:r>
            <w:r>
              <w:rPr>
                <w:sz w:val="24"/>
                <w:szCs w:val="24"/>
              </w:rPr>
              <w:t>.</w:t>
            </w:r>
            <w:r>
              <w:rPr>
                <w:rFonts w:hint="eastAsia"/>
                <w:sz w:val="24"/>
                <w:szCs w:val="24"/>
              </w:rPr>
              <w:t>光华法学院研究生（本科法学专业毕业可申请L</w:t>
            </w:r>
            <w:r>
              <w:rPr>
                <w:sz w:val="24"/>
                <w:szCs w:val="24"/>
              </w:rPr>
              <w:t>LM</w:t>
            </w:r>
            <w:r>
              <w:rPr>
                <w:rFonts w:hint="eastAsia"/>
                <w:sz w:val="24"/>
                <w:szCs w:val="24"/>
              </w:rPr>
              <w:t>，非法学法硕学生可尝试申请</w:t>
            </w:r>
            <w:r>
              <w:rPr>
                <w:sz w:val="24"/>
                <w:szCs w:val="24"/>
              </w:rPr>
              <w:t xml:space="preserve">specialist masters </w:t>
            </w:r>
            <w:r>
              <w:rPr>
                <w:rFonts w:hint="eastAsia"/>
                <w:sz w:val="24"/>
                <w:szCs w:val="24"/>
              </w:rPr>
              <w:t>program），最终录取与否由悉尼大学审核决定。</w:t>
            </w:r>
          </w:p>
          <w:p>
            <w:pPr>
              <w:rPr>
                <w:sz w:val="24"/>
                <w:szCs w:val="24"/>
              </w:rPr>
            </w:pPr>
            <w:r>
              <w:rPr>
                <w:rFonts w:hint="eastAsia"/>
                <w:sz w:val="24"/>
                <w:szCs w:val="24"/>
              </w:rPr>
              <w:t>2.雅思总分7分，各项不低于6分；或托福机考96分，各项要求阅读、听力、口语17分，</w:t>
            </w:r>
            <w:r>
              <w:rPr>
                <w:sz w:val="24"/>
                <w:szCs w:val="24"/>
              </w:rPr>
              <w:t>写作</w:t>
            </w:r>
            <w:r>
              <w:rPr>
                <w:rFonts w:hint="eastAsia"/>
                <w:sz w:val="24"/>
                <w:szCs w:val="24"/>
              </w:rPr>
              <w:t>19分（语言要求以悉尼大学官网要求为准，未达标者入读英语课程规则参见悉尼大学官网）；</w:t>
            </w:r>
          </w:p>
          <w:p>
            <w:pPr>
              <w:rPr>
                <w:sz w:val="24"/>
                <w:szCs w:val="24"/>
              </w:rPr>
            </w:pPr>
            <w:r>
              <w:rPr>
                <w:rFonts w:hint="eastAsia"/>
                <w:sz w:val="24"/>
                <w:szCs w:val="24"/>
              </w:rPr>
              <w:t>3.学习成绩优良，211大学本科总平均分不低于7</w:t>
            </w:r>
            <w:r>
              <w:rPr>
                <w:sz w:val="24"/>
                <w:szCs w:val="24"/>
              </w:rPr>
              <w:t>0</w:t>
            </w:r>
            <w:r>
              <w:rPr>
                <w:rFonts w:hint="eastAsia"/>
                <w:sz w:val="24"/>
                <w:szCs w:val="24"/>
              </w:rPr>
              <w:t>分，非2</w:t>
            </w:r>
            <w:r>
              <w:rPr>
                <w:sz w:val="24"/>
                <w:szCs w:val="24"/>
              </w:rPr>
              <w:t>11</w:t>
            </w:r>
            <w:r>
              <w:rPr>
                <w:rFonts w:hint="eastAsia"/>
                <w:sz w:val="24"/>
                <w:szCs w:val="24"/>
              </w:rPr>
              <w:t>大学不低于80分</w:t>
            </w:r>
          </w:p>
        </w:tc>
        <w:tc>
          <w:tcPr>
            <w:tcW w:w="2493" w:type="dxa"/>
          </w:tcPr>
          <w:p>
            <w:pPr>
              <w:rPr>
                <w:sz w:val="24"/>
                <w:szCs w:val="24"/>
              </w:rPr>
            </w:pPr>
            <w:r>
              <w:rPr>
                <w:rFonts w:hint="eastAsia"/>
                <w:color w:val="000000"/>
                <w:sz w:val="24"/>
                <w:szCs w:val="24"/>
                <w:shd w:val="clear" w:color="auto" w:fill="FFFFFF"/>
              </w:rPr>
              <w:t>学费，注册费、生活费等费用自理。学费享受澳洲本地学生学费待遇，比普通国际学生减免8500澳元左右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eastAsiaTheme="minorEastAsia"/>
                <w:sz w:val="24"/>
                <w:szCs w:val="24"/>
                <w:lang w:val="en-US" w:eastAsia="zh-CN"/>
              </w:rPr>
            </w:pPr>
            <w:r>
              <w:rPr>
                <w:rFonts w:hint="eastAsia"/>
                <w:sz w:val="24"/>
                <w:szCs w:val="24"/>
                <w:lang w:val="en-US" w:eastAsia="zh-CN"/>
              </w:rPr>
              <w:t>2</w:t>
            </w:r>
          </w:p>
        </w:tc>
        <w:tc>
          <w:tcPr>
            <w:tcW w:w="1418" w:type="dxa"/>
          </w:tcPr>
          <w:p>
            <w:pPr>
              <w:rPr>
                <w:sz w:val="24"/>
                <w:szCs w:val="24"/>
              </w:rPr>
            </w:pPr>
            <w:r>
              <w:rPr>
                <w:rFonts w:hint="eastAsia" w:ascii="宋体" w:hAnsi="宋体" w:eastAsia="宋体" w:cs="宋体"/>
                <w:kern w:val="0"/>
                <w:sz w:val="24"/>
                <w:szCs w:val="24"/>
              </w:rPr>
              <w:t>澳洲邦德大学法学院法律硕士&amp;JD合作项目</w:t>
            </w:r>
          </w:p>
        </w:tc>
        <w:tc>
          <w:tcPr>
            <w:tcW w:w="1587" w:type="dxa"/>
            <w:gridSpan w:val="2"/>
          </w:tcPr>
          <w:p>
            <w:pPr>
              <w:rPr>
                <w:sz w:val="24"/>
                <w:szCs w:val="24"/>
              </w:rPr>
            </w:pPr>
            <w:r>
              <w:rPr>
                <w:rFonts w:hint="eastAsia" w:ascii="宋体" w:hAnsi="宋体" w:eastAsia="宋体" w:cs="宋体"/>
                <w:kern w:val="0"/>
                <w:sz w:val="24"/>
                <w:szCs w:val="24"/>
              </w:rPr>
              <w:t>秋季或春季入学</w:t>
            </w:r>
          </w:p>
        </w:tc>
        <w:tc>
          <w:tcPr>
            <w:tcW w:w="2866" w:type="dxa"/>
          </w:tcPr>
          <w:p>
            <w:pPr>
              <w:rPr>
                <w:rFonts w:ascii="宋体" w:hAnsi="宋体" w:eastAsia="宋体" w:cs="宋体"/>
                <w:kern w:val="0"/>
                <w:sz w:val="24"/>
                <w:szCs w:val="24"/>
              </w:rPr>
            </w:pPr>
            <w:r>
              <w:rPr>
                <w:rFonts w:hint="eastAsia" w:ascii="宋体" w:hAnsi="宋体" w:eastAsia="宋体" w:cs="宋体"/>
                <w:kern w:val="0"/>
                <w:sz w:val="24"/>
                <w:szCs w:val="24"/>
              </w:rPr>
              <w:t>1.本科大四学生、硕士研究生及博士研究生；</w:t>
            </w:r>
          </w:p>
          <w:p>
            <w:pPr>
              <w:rPr>
                <w:rFonts w:ascii="宋体" w:hAnsi="宋体" w:eastAsia="宋体" w:cs="宋体"/>
                <w:kern w:val="0"/>
                <w:sz w:val="24"/>
                <w:szCs w:val="24"/>
              </w:rPr>
            </w:pPr>
            <w:r>
              <w:rPr>
                <w:rFonts w:hint="eastAsia" w:ascii="宋体" w:hAnsi="宋体" w:eastAsia="宋体" w:cs="宋体"/>
                <w:kern w:val="0"/>
                <w:sz w:val="24"/>
                <w:szCs w:val="24"/>
              </w:rPr>
              <w:t>2.两年内有效的TOEFL(79分以上)或IELTS（6.5分，单项6）或PTE 58；</w:t>
            </w:r>
          </w:p>
          <w:p>
            <w:pPr>
              <w:rPr>
                <w:sz w:val="24"/>
                <w:szCs w:val="24"/>
              </w:rPr>
            </w:pPr>
            <w:r>
              <w:rPr>
                <w:rFonts w:hint="eastAsia" w:ascii="宋体" w:hAnsi="宋体" w:eastAsia="宋体" w:cs="宋体"/>
                <w:kern w:val="0"/>
                <w:sz w:val="24"/>
                <w:szCs w:val="24"/>
              </w:rPr>
              <w:t>3.学习成绩优良</w:t>
            </w:r>
          </w:p>
        </w:tc>
        <w:tc>
          <w:tcPr>
            <w:tcW w:w="2493" w:type="dxa"/>
          </w:tcPr>
          <w:p>
            <w:pPr>
              <w:rPr>
                <w:color w:val="000000"/>
                <w:sz w:val="24"/>
                <w:szCs w:val="24"/>
                <w:shd w:val="clear" w:color="auto" w:fill="FFFFFF"/>
              </w:rPr>
            </w:pPr>
            <w:r>
              <w:rPr>
                <w:rFonts w:hint="eastAsia"/>
                <w:sz w:val="24"/>
                <w:szCs w:val="24"/>
              </w:rPr>
              <w:t>自费，可申请奖学金（减免25%学费）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eastAsiaTheme="minorEastAsia"/>
                <w:sz w:val="24"/>
                <w:szCs w:val="24"/>
                <w:lang w:val="en-US" w:eastAsia="zh-CN"/>
              </w:rPr>
            </w:pPr>
            <w:r>
              <w:rPr>
                <w:rFonts w:hint="eastAsia"/>
                <w:sz w:val="24"/>
                <w:szCs w:val="24"/>
                <w:lang w:val="en-US" w:eastAsia="zh-CN"/>
              </w:rPr>
              <w:t>3</w:t>
            </w:r>
          </w:p>
        </w:tc>
        <w:tc>
          <w:tcPr>
            <w:tcW w:w="1418" w:type="dxa"/>
          </w:tcPr>
          <w:p>
            <w:pPr>
              <w:rPr>
                <w:sz w:val="24"/>
                <w:szCs w:val="24"/>
              </w:rPr>
            </w:pPr>
            <w:r>
              <w:rPr>
                <w:rFonts w:hint="eastAsia" w:ascii="宋体" w:hAnsi="宋体" w:eastAsia="宋体" w:cs="宋体"/>
                <w:kern w:val="0"/>
                <w:sz w:val="24"/>
                <w:szCs w:val="24"/>
              </w:rPr>
              <w:t>美国加州大学伯克利分校</w:t>
            </w:r>
            <w:r>
              <w:rPr>
                <w:rFonts w:ascii="宋体" w:hAnsi="宋体" w:eastAsia="宋体" w:cs="宋体"/>
                <w:kern w:val="0"/>
                <w:sz w:val="24"/>
                <w:szCs w:val="24"/>
              </w:rPr>
              <w:t>Legal Studies Global Access Program</w:t>
            </w:r>
          </w:p>
        </w:tc>
        <w:tc>
          <w:tcPr>
            <w:tcW w:w="1587" w:type="dxa"/>
            <w:gridSpan w:val="2"/>
          </w:tcPr>
          <w:p>
            <w:pPr>
              <w:rPr>
                <w:sz w:val="24"/>
                <w:szCs w:val="24"/>
              </w:rPr>
            </w:pPr>
            <w:r>
              <w:rPr>
                <w:rFonts w:hint="eastAsia" w:ascii="宋体" w:hAnsi="宋体" w:eastAsia="宋体" w:cs="宋体"/>
                <w:kern w:val="0"/>
                <w:sz w:val="24"/>
                <w:szCs w:val="24"/>
              </w:rPr>
              <w:t>春季1-5月；秋季8-12月</w:t>
            </w:r>
          </w:p>
        </w:tc>
        <w:tc>
          <w:tcPr>
            <w:tcW w:w="2866" w:type="dxa"/>
          </w:tcPr>
          <w:p>
            <w:pPr>
              <w:rPr>
                <w:rFonts w:ascii="宋体" w:hAnsi="宋体" w:eastAsia="宋体" w:cs="宋体"/>
                <w:kern w:val="0"/>
                <w:sz w:val="24"/>
                <w:szCs w:val="24"/>
              </w:rPr>
            </w:pPr>
            <w:r>
              <w:rPr>
                <w:rFonts w:hint="eastAsia" w:ascii="宋体" w:hAnsi="宋体" w:eastAsia="宋体" w:cs="宋体"/>
                <w:kern w:val="0"/>
                <w:sz w:val="24"/>
                <w:szCs w:val="24"/>
              </w:rPr>
              <w:t>1.本科大三、大四学生及研究生；</w:t>
            </w:r>
          </w:p>
          <w:p>
            <w:pPr>
              <w:rPr>
                <w:rFonts w:ascii="宋体" w:hAnsi="宋体" w:eastAsia="宋体" w:cs="宋体"/>
                <w:kern w:val="0"/>
                <w:sz w:val="24"/>
                <w:szCs w:val="24"/>
              </w:rPr>
            </w:pPr>
            <w:r>
              <w:rPr>
                <w:rFonts w:hint="eastAsia" w:ascii="宋体" w:hAnsi="宋体" w:eastAsia="宋体" w:cs="宋体"/>
                <w:kern w:val="0"/>
                <w:sz w:val="24"/>
                <w:szCs w:val="24"/>
              </w:rPr>
              <w:t>2.两年内有效的TOEFL（90分以上）或IELTS（7分以上）；</w:t>
            </w:r>
          </w:p>
          <w:p>
            <w:pPr>
              <w:rPr>
                <w:sz w:val="24"/>
                <w:szCs w:val="24"/>
              </w:rPr>
            </w:pPr>
            <w:r>
              <w:rPr>
                <w:rFonts w:hint="eastAsia" w:ascii="宋体" w:hAnsi="宋体" w:eastAsia="宋体" w:cs="宋体"/>
                <w:kern w:val="0"/>
                <w:sz w:val="24"/>
                <w:szCs w:val="24"/>
              </w:rPr>
              <w:t>3.学术成绩表现优异，GPA达到3.0以上（GPA4.0为满分标准）</w:t>
            </w:r>
          </w:p>
        </w:tc>
        <w:tc>
          <w:tcPr>
            <w:tcW w:w="2493" w:type="dxa"/>
          </w:tcPr>
          <w:p>
            <w:pPr>
              <w:rPr>
                <w:sz w:val="24"/>
                <w:szCs w:val="24"/>
              </w:rPr>
            </w:pPr>
            <w:r>
              <w:rPr>
                <w:rFonts w:hint="eastAsia"/>
                <w:sz w:val="24"/>
                <w:szCs w:val="24"/>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8" w:type="dxa"/>
          </w:tcPr>
          <w:p>
            <w:pPr>
              <w:rPr>
                <w:rFonts w:ascii="宋体" w:hAnsi="宋体" w:eastAsia="宋体" w:cs="宋体"/>
                <w:color w:val="000000"/>
                <w:kern w:val="0"/>
                <w:sz w:val="24"/>
                <w:szCs w:val="24"/>
              </w:rPr>
            </w:pPr>
            <w:r>
              <w:rPr>
                <w:sz w:val="24"/>
                <w:szCs w:val="24"/>
              </w:rPr>
              <w:t>美国爱荷华大学法学院交换项目</w:t>
            </w:r>
          </w:p>
        </w:tc>
        <w:tc>
          <w:tcPr>
            <w:tcW w:w="1587" w:type="dxa"/>
            <w:gridSpan w:val="2"/>
          </w:tcPr>
          <w:p>
            <w:pPr>
              <w:rPr>
                <w:rFonts w:ascii="宋体" w:hAnsi="宋体" w:eastAsia="宋体" w:cs="宋体"/>
                <w:color w:val="000000"/>
                <w:kern w:val="0"/>
                <w:sz w:val="24"/>
                <w:szCs w:val="24"/>
              </w:rPr>
            </w:pPr>
            <w:r>
              <w:rPr>
                <w:rFonts w:hint="eastAsia"/>
                <w:color w:val="000000"/>
                <w:sz w:val="24"/>
                <w:szCs w:val="24"/>
                <w:shd w:val="clear" w:color="auto" w:fill="FFFFFF"/>
              </w:rPr>
              <w:t>秋季或春季入学，每学年最多2名，一学期或一学年</w:t>
            </w:r>
          </w:p>
        </w:tc>
        <w:tc>
          <w:tcPr>
            <w:tcW w:w="2866" w:type="dxa"/>
          </w:tcPr>
          <w:p>
            <w:pPr>
              <w:rPr>
                <w:rFonts w:ascii="宋体" w:hAnsi="宋体" w:eastAsia="宋体" w:cs="宋体"/>
                <w:color w:val="000000"/>
                <w:kern w:val="0"/>
                <w:sz w:val="24"/>
                <w:szCs w:val="24"/>
              </w:rPr>
            </w:pPr>
            <w:r>
              <w:rPr>
                <w:rFonts w:hint="eastAsia"/>
                <w:sz w:val="24"/>
                <w:szCs w:val="24"/>
              </w:rPr>
              <w:t>1.</w:t>
            </w:r>
            <w:r>
              <w:rPr>
                <w:rFonts w:hint="eastAsia" w:ascii="宋体" w:hAnsi="宋体" w:eastAsia="宋体" w:cs="宋体"/>
                <w:color w:val="000000"/>
                <w:kern w:val="0"/>
                <w:sz w:val="24"/>
                <w:szCs w:val="24"/>
              </w:rPr>
              <w:t>光华法学院大三本科生、研究生非毕业班（非法学法硕要求二年级）</w:t>
            </w:r>
          </w:p>
          <w:p>
            <w:pPr>
              <w:rPr>
                <w:sz w:val="24"/>
                <w:szCs w:val="24"/>
              </w:rPr>
            </w:pPr>
            <w:r>
              <w:rPr>
                <w:rFonts w:hint="eastAsia"/>
                <w:sz w:val="24"/>
                <w:szCs w:val="24"/>
              </w:rPr>
              <w:t>2.两年内有效的TOEFL (机考92分或5</w:t>
            </w:r>
            <w:r>
              <w:rPr>
                <w:sz w:val="24"/>
                <w:szCs w:val="24"/>
              </w:rPr>
              <w:t>80</w:t>
            </w:r>
            <w:r>
              <w:rPr>
                <w:rFonts w:hint="eastAsia"/>
                <w:sz w:val="24"/>
                <w:szCs w:val="24"/>
              </w:rPr>
              <w:t>分纸考)</w:t>
            </w:r>
          </w:p>
          <w:p>
            <w:pPr>
              <w:rPr>
                <w:rFonts w:ascii="宋体" w:hAnsi="宋体" w:eastAsia="宋体" w:cs="宋体"/>
                <w:color w:val="000000"/>
                <w:kern w:val="0"/>
                <w:sz w:val="24"/>
                <w:szCs w:val="24"/>
              </w:rPr>
            </w:pPr>
            <w:r>
              <w:rPr>
                <w:rFonts w:hint="eastAsia"/>
                <w:sz w:val="24"/>
                <w:szCs w:val="24"/>
              </w:rPr>
              <w:t>3.学习成绩优良</w:t>
            </w:r>
          </w:p>
        </w:tc>
        <w:tc>
          <w:tcPr>
            <w:tcW w:w="2493" w:type="dxa"/>
          </w:tcPr>
          <w:p>
            <w:pPr>
              <w:rPr>
                <w:color w:val="000000"/>
                <w:sz w:val="24"/>
                <w:szCs w:val="24"/>
                <w:shd w:val="clear" w:color="auto" w:fill="FFFFFF"/>
              </w:rPr>
            </w:pPr>
            <w:r>
              <w:rPr>
                <w:rFonts w:hint="eastAsia"/>
                <w:color w:val="000000"/>
                <w:sz w:val="24"/>
                <w:szCs w:val="24"/>
                <w:shd w:val="clear" w:color="auto" w:fill="FFFFFF"/>
              </w:rPr>
              <w:t>按照双方协议，交换一学期免学费，交换一学年的第二学期交学费，注册费、生活费等其他费用自理</w:t>
            </w:r>
          </w:p>
          <w:p>
            <w:pPr>
              <w:rPr>
                <w:sz w:val="24"/>
                <w:szCs w:val="24"/>
              </w:rPr>
            </w:pPr>
            <w:r>
              <w:rPr>
                <w:rFonts w:hint="eastAsia"/>
                <w:color w:val="000000"/>
                <w:sz w:val="24"/>
                <w:szCs w:val="24"/>
                <w:shd w:val="clear" w:color="auto" w:fill="FFFFFF"/>
              </w:rPr>
              <w:t>（语言要求：入学时若托福低于机考1</w:t>
            </w:r>
            <w:r>
              <w:rPr>
                <w:color w:val="000000"/>
                <w:sz w:val="24"/>
                <w:szCs w:val="24"/>
                <w:shd w:val="clear" w:color="auto" w:fill="FFFFFF"/>
              </w:rPr>
              <w:t>00</w:t>
            </w:r>
            <w:r>
              <w:rPr>
                <w:rFonts w:hint="eastAsia"/>
                <w:color w:val="000000"/>
                <w:sz w:val="24"/>
                <w:szCs w:val="24"/>
                <w:shd w:val="clear" w:color="auto" w:fill="FFFFFF"/>
              </w:rPr>
              <w:t>分或纸考60</w:t>
            </w:r>
            <w:r>
              <w:rPr>
                <w:color w:val="000000"/>
                <w:sz w:val="24"/>
                <w:szCs w:val="24"/>
                <w:shd w:val="clear" w:color="auto" w:fill="FFFFFF"/>
              </w:rPr>
              <w:t>0</w:t>
            </w:r>
            <w:r>
              <w:rPr>
                <w:rFonts w:hint="eastAsia"/>
                <w:color w:val="000000"/>
                <w:sz w:val="24"/>
                <w:szCs w:val="24"/>
                <w:shd w:val="clear" w:color="auto" w:fill="FFFFFF"/>
              </w:rPr>
              <w:t>分，则要求参加语言水平测试，测试费12</w:t>
            </w:r>
            <w:r>
              <w:rPr>
                <w:color w:val="000000"/>
                <w:sz w:val="24"/>
                <w:szCs w:val="24"/>
                <w:shd w:val="clear" w:color="auto" w:fill="FFFFFF"/>
              </w:rPr>
              <w:t>0</w:t>
            </w:r>
            <w:r>
              <w:rPr>
                <w:rFonts w:hint="eastAsia"/>
                <w:color w:val="000000"/>
                <w:sz w:val="24"/>
                <w:szCs w:val="24"/>
                <w:shd w:val="clear" w:color="auto" w:fill="FFFFFF"/>
              </w:rPr>
              <w:t>美元，根据测试结果将要求学生入读相应量的语言课程。）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418" w:type="dxa"/>
            <w:shd w:val="clear" w:color="auto" w:fill="auto"/>
          </w:tcPr>
          <w:p>
            <w:pPr>
              <w:rPr>
                <w:rFonts w:hint="default" w:ascii="宋体" w:hAnsi="宋体" w:cs="宋体" w:eastAsiaTheme="minorEastAsia"/>
                <w:kern w:val="0"/>
                <w:sz w:val="24"/>
                <w:szCs w:val="24"/>
                <w:lang w:val="en-US" w:eastAsia="zh-CN"/>
              </w:rPr>
            </w:pPr>
            <w:r>
              <w:rPr>
                <w:rFonts w:hint="eastAsia"/>
                <w:sz w:val="24"/>
                <w:szCs w:val="24"/>
              </w:rPr>
              <w:t>美国杜肯大学法学院</w:t>
            </w:r>
            <w:r>
              <w:rPr>
                <w:rFonts w:hint="eastAsia"/>
                <w:sz w:val="24"/>
                <w:szCs w:val="24"/>
                <w:lang w:val="en-US" w:eastAsia="zh-CN"/>
              </w:rPr>
              <w:t>交换项目</w:t>
            </w:r>
          </w:p>
        </w:tc>
        <w:tc>
          <w:tcPr>
            <w:tcW w:w="1587" w:type="dxa"/>
            <w:gridSpan w:val="2"/>
            <w:shd w:val="clear" w:color="auto" w:fill="auto"/>
          </w:tcPr>
          <w:p>
            <w:pPr>
              <w:rPr>
                <w:rFonts w:ascii="宋体" w:hAnsi="宋体" w:eastAsia="宋体" w:cs="宋体"/>
                <w:kern w:val="0"/>
                <w:sz w:val="24"/>
                <w:szCs w:val="24"/>
              </w:rPr>
            </w:pPr>
            <w:r>
              <w:rPr>
                <w:rFonts w:hint="eastAsia"/>
                <w:sz w:val="24"/>
                <w:szCs w:val="24"/>
              </w:rPr>
              <w:t>每学年</w:t>
            </w:r>
            <w:r>
              <w:rPr>
                <w:sz w:val="24"/>
                <w:szCs w:val="24"/>
              </w:rPr>
              <w:t>2</w:t>
            </w:r>
            <w:r>
              <w:rPr>
                <w:rFonts w:hint="eastAsia"/>
                <w:sz w:val="24"/>
                <w:szCs w:val="24"/>
              </w:rPr>
              <w:t>个名额，一学期</w:t>
            </w:r>
          </w:p>
        </w:tc>
        <w:tc>
          <w:tcPr>
            <w:tcW w:w="2866" w:type="dxa"/>
            <w:shd w:val="clear" w:color="auto" w:fill="auto"/>
          </w:tcPr>
          <w:p>
            <w:pPr>
              <w:rPr>
                <w:rFonts w:ascii="宋体" w:hAnsi="宋体" w:eastAsia="宋体" w:cs="宋体"/>
                <w:color w:val="000000"/>
                <w:kern w:val="0"/>
                <w:sz w:val="24"/>
                <w:szCs w:val="24"/>
              </w:rPr>
            </w:pPr>
            <w:r>
              <w:rPr>
                <w:sz w:val="24"/>
                <w:szCs w:val="24"/>
              </w:rPr>
              <w:t>1.</w:t>
            </w:r>
            <w:r>
              <w:rPr>
                <w:rFonts w:hint="eastAsia" w:ascii="宋体" w:hAnsi="宋体" w:eastAsia="宋体" w:cs="宋体"/>
                <w:color w:val="000000"/>
                <w:kern w:val="0"/>
                <w:sz w:val="24"/>
                <w:szCs w:val="24"/>
              </w:rPr>
              <w:t>光华法学院在校本科生、研究生（非毕业班</w:t>
            </w:r>
            <w:r>
              <w:rPr>
                <w:rFonts w:ascii="宋体" w:hAnsi="宋体" w:eastAsia="宋体" w:cs="宋体"/>
                <w:color w:val="000000"/>
                <w:kern w:val="0"/>
                <w:sz w:val="24"/>
                <w:szCs w:val="24"/>
              </w:rPr>
              <w:t>）</w:t>
            </w:r>
          </w:p>
          <w:p>
            <w:pPr>
              <w:rPr>
                <w:rFonts w:ascii="宋体" w:hAnsi="宋体" w:eastAsia="宋体" w:cs="宋体"/>
                <w:kern w:val="0"/>
                <w:sz w:val="24"/>
                <w:szCs w:val="24"/>
              </w:rPr>
            </w:pPr>
            <w:r>
              <w:rPr>
                <w:sz w:val="24"/>
                <w:szCs w:val="24"/>
              </w:rPr>
              <w:t>2.</w:t>
            </w:r>
            <w:r>
              <w:rPr>
                <w:rFonts w:hint="eastAsia"/>
                <w:sz w:val="24"/>
                <w:szCs w:val="24"/>
              </w:rPr>
              <w:t>学习成绩优良</w:t>
            </w:r>
          </w:p>
        </w:tc>
        <w:tc>
          <w:tcPr>
            <w:tcW w:w="2493" w:type="dxa"/>
            <w:shd w:val="clear" w:color="auto" w:fill="auto"/>
          </w:tcPr>
          <w:p>
            <w:pPr>
              <w:rPr>
                <w:sz w:val="24"/>
                <w:szCs w:val="24"/>
              </w:rPr>
            </w:pPr>
            <w:r>
              <w:rPr>
                <w:rFonts w:hint="eastAsia"/>
                <w:color w:val="000000"/>
                <w:sz w:val="24"/>
                <w:szCs w:val="24"/>
                <w:shd w:val="clear" w:color="auto" w:fill="FFFFFF"/>
                <w:lang w:val="en-US" w:eastAsia="zh-CN"/>
              </w:rPr>
              <w:t>按照双方协议，</w:t>
            </w:r>
            <w:r>
              <w:rPr>
                <w:rFonts w:hint="eastAsia"/>
                <w:color w:val="000000"/>
                <w:sz w:val="24"/>
                <w:szCs w:val="24"/>
                <w:shd w:val="clear" w:color="auto" w:fill="FFFFFF"/>
              </w:rPr>
              <w:t>免学费，注册费、生活费等其他费用自理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sz w:val="24"/>
                <w:szCs w:val="24"/>
              </w:rPr>
            </w:pPr>
            <w:r>
              <w:rPr>
                <w:rFonts w:hint="eastAsia"/>
                <w:sz w:val="24"/>
                <w:szCs w:val="24"/>
              </w:rPr>
              <w:t>6</w:t>
            </w:r>
          </w:p>
        </w:tc>
        <w:tc>
          <w:tcPr>
            <w:tcW w:w="1418" w:type="dxa"/>
          </w:tcPr>
          <w:p>
            <w:pPr>
              <w:rPr>
                <w:sz w:val="24"/>
                <w:szCs w:val="24"/>
              </w:rPr>
            </w:pPr>
            <w:r>
              <w:rPr>
                <w:sz w:val="24"/>
                <w:szCs w:val="24"/>
              </w:rPr>
              <w:t>美国杜肯大学法学院</w:t>
            </w:r>
            <w:r>
              <w:rPr>
                <w:rFonts w:hint="eastAsia"/>
                <w:sz w:val="24"/>
                <w:szCs w:val="24"/>
              </w:rPr>
              <w:t>LLM</w:t>
            </w:r>
            <w:r>
              <w:rPr>
                <w:sz w:val="24"/>
                <w:szCs w:val="24"/>
              </w:rPr>
              <w:t>学位项目</w:t>
            </w:r>
          </w:p>
        </w:tc>
        <w:tc>
          <w:tcPr>
            <w:tcW w:w="1276" w:type="dxa"/>
          </w:tcPr>
          <w:p>
            <w:pPr>
              <w:rPr>
                <w:sz w:val="24"/>
                <w:szCs w:val="24"/>
              </w:rPr>
            </w:pPr>
            <w:r>
              <w:rPr>
                <w:rFonts w:hint="eastAsia"/>
                <w:sz w:val="24"/>
                <w:szCs w:val="24"/>
              </w:rPr>
              <w:t>秋季入学（一学年）</w:t>
            </w:r>
          </w:p>
        </w:tc>
        <w:tc>
          <w:tcPr>
            <w:tcW w:w="3177" w:type="dxa"/>
            <w:gridSpan w:val="2"/>
          </w:tcPr>
          <w:p>
            <w:pPr>
              <w:rPr>
                <w:sz w:val="24"/>
                <w:szCs w:val="24"/>
              </w:rPr>
            </w:pPr>
            <w:r>
              <w:rPr>
                <w:rFonts w:hint="eastAsia"/>
                <w:sz w:val="24"/>
                <w:szCs w:val="24"/>
              </w:rPr>
              <w:t>1.本科大三、大四学生及非毕业班研究生</w:t>
            </w:r>
          </w:p>
          <w:p>
            <w:pPr>
              <w:rPr>
                <w:sz w:val="24"/>
                <w:szCs w:val="24"/>
              </w:rPr>
            </w:pPr>
            <w:r>
              <w:rPr>
                <w:rFonts w:hint="eastAsia"/>
                <w:sz w:val="24"/>
                <w:szCs w:val="24"/>
              </w:rPr>
              <w:t>2. 两年内有效的雅思至少6分或托福至少80分</w:t>
            </w:r>
          </w:p>
        </w:tc>
        <w:tc>
          <w:tcPr>
            <w:tcW w:w="2493" w:type="dxa"/>
          </w:tcPr>
          <w:p>
            <w:pPr>
              <w:rPr>
                <w:sz w:val="24"/>
                <w:szCs w:val="24"/>
              </w:rPr>
            </w:pPr>
            <w:r>
              <w:rPr>
                <w:rFonts w:hint="eastAsia"/>
                <w:sz w:val="24"/>
                <w:szCs w:val="24"/>
              </w:rPr>
              <w:t>每位学生奖学金7000美元</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1418" w:type="dxa"/>
          </w:tcPr>
          <w:p>
            <w:pPr>
              <w:rPr>
                <w:rFonts w:ascii="宋体" w:hAnsi="宋体" w:eastAsia="宋体" w:cs="宋体"/>
                <w:kern w:val="0"/>
                <w:sz w:val="24"/>
                <w:szCs w:val="24"/>
              </w:rPr>
            </w:pPr>
            <w:r>
              <w:rPr>
                <w:sz w:val="24"/>
                <w:szCs w:val="24"/>
              </w:rPr>
              <w:t>西澳大学法学院交换项目</w:t>
            </w:r>
          </w:p>
        </w:tc>
        <w:tc>
          <w:tcPr>
            <w:tcW w:w="1587" w:type="dxa"/>
            <w:gridSpan w:val="2"/>
          </w:tcPr>
          <w:p>
            <w:pPr>
              <w:rPr>
                <w:rFonts w:ascii="宋体" w:hAnsi="宋体" w:eastAsia="宋体" w:cs="宋体"/>
                <w:kern w:val="0"/>
                <w:sz w:val="24"/>
                <w:szCs w:val="24"/>
              </w:rPr>
            </w:pPr>
            <w:r>
              <w:rPr>
                <w:rFonts w:hint="eastAsia"/>
                <w:sz w:val="24"/>
                <w:szCs w:val="24"/>
              </w:rPr>
              <w:t>2个名额，一学期</w:t>
            </w:r>
          </w:p>
        </w:tc>
        <w:tc>
          <w:tcPr>
            <w:tcW w:w="2866" w:type="dxa"/>
          </w:tcPr>
          <w:p>
            <w:pPr>
              <w:rPr>
                <w:sz w:val="24"/>
                <w:szCs w:val="24"/>
              </w:rPr>
            </w:pPr>
            <w:r>
              <w:rPr>
                <w:rFonts w:hint="eastAsia"/>
                <w:sz w:val="24"/>
                <w:szCs w:val="24"/>
              </w:rPr>
              <w:t>1.光华法学院非毕业班本科生，非毕业班研究生</w:t>
            </w:r>
          </w:p>
          <w:p>
            <w:pPr>
              <w:rPr>
                <w:sz w:val="24"/>
                <w:szCs w:val="24"/>
              </w:rPr>
            </w:pPr>
            <w:r>
              <w:rPr>
                <w:rFonts w:hint="eastAsia"/>
                <w:sz w:val="24"/>
                <w:szCs w:val="24"/>
              </w:rPr>
              <w:t>2.两年内有效的托福（90分，写作22分，其他各项20分）或雅思（6.5分，各项6.0分）</w:t>
            </w:r>
          </w:p>
          <w:p>
            <w:pPr>
              <w:rPr>
                <w:rFonts w:ascii="宋体" w:hAnsi="宋体" w:eastAsia="宋体" w:cs="宋体"/>
                <w:kern w:val="0"/>
                <w:sz w:val="24"/>
                <w:szCs w:val="24"/>
              </w:rPr>
            </w:pPr>
            <w:r>
              <w:rPr>
                <w:rFonts w:hint="eastAsia"/>
                <w:sz w:val="24"/>
                <w:szCs w:val="24"/>
              </w:rPr>
              <w:t>3.GPA3.0</w:t>
            </w:r>
          </w:p>
        </w:tc>
        <w:tc>
          <w:tcPr>
            <w:tcW w:w="2493" w:type="dxa"/>
          </w:tcPr>
          <w:p>
            <w:pPr>
              <w:rPr>
                <w:rFonts w:hint="eastAsia" w:eastAsiaTheme="minorEastAsia"/>
                <w:sz w:val="24"/>
                <w:szCs w:val="24"/>
                <w:lang w:val="en-US" w:eastAsia="zh-CN"/>
              </w:rPr>
            </w:pPr>
            <w:r>
              <w:rPr>
                <w:rFonts w:hint="eastAsia"/>
                <w:color w:val="000000"/>
                <w:sz w:val="24"/>
                <w:szCs w:val="24"/>
                <w:shd w:val="clear" w:color="auto"/>
              </w:rPr>
              <w:t>免学费，</w:t>
            </w:r>
            <w:r>
              <w:rPr>
                <w:rFonts w:hint="eastAsia"/>
                <w:color w:val="000000"/>
                <w:sz w:val="24"/>
                <w:szCs w:val="24"/>
                <w:shd w:val="clear" w:color="auto"/>
                <w:lang w:val="en-US" w:eastAsia="zh-CN"/>
              </w:rPr>
              <w:t>注册费生活费等其余费用自理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eastAsiaTheme="minorEastAsia"/>
                <w:sz w:val="24"/>
                <w:szCs w:val="24"/>
                <w:lang w:eastAsia="zh-CN"/>
              </w:rPr>
            </w:pPr>
            <w:r>
              <w:rPr>
                <w:rFonts w:hint="eastAsia"/>
                <w:sz w:val="24"/>
                <w:szCs w:val="24"/>
                <w:lang w:val="en-US" w:eastAsia="zh-CN"/>
              </w:rPr>
              <w:t>8</w:t>
            </w:r>
          </w:p>
        </w:tc>
        <w:tc>
          <w:tcPr>
            <w:tcW w:w="1418" w:type="dxa"/>
          </w:tcPr>
          <w:p>
            <w:pPr>
              <w:rPr>
                <w:sz w:val="24"/>
                <w:szCs w:val="24"/>
              </w:rPr>
            </w:pPr>
            <w:r>
              <w:rPr>
                <w:rFonts w:hint="eastAsia"/>
                <w:sz w:val="24"/>
                <w:szCs w:val="24"/>
              </w:rPr>
              <w:t>香港城市大学法学院交换项目</w:t>
            </w:r>
          </w:p>
        </w:tc>
        <w:tc>
          <w:tcPr>
            <w:tcW w:w="1587" w:type="dxa"/>
            <w:gridSpan w:val="2"/>
          </w:tcPr>
          <w:p>
            <w:pPr>
              <w:rPr>
                <w:sz w:val="24"/>
                <w:szCs w:val="24"/>
              </w:rPr>
            </w:pPr>
            <w:r>
              <w:rPr>
                <w:rFonts w:hint="eastAsia"/>
                <w:sz w:val="24"/>
                <w:szCs w:val="24"/>
              </w:rPr>
              <w:t>每学年2名，一学期</w:t>
            </w:r>
          </w:p>
        </w:tc>
        <w:tc>
          <w:tcPr>
            <w:tcW w:w="2866" w:type="dxa"/>
          </w:tcPr>
          <w:p>
            <w:pPr>
              <w:rPr>
                <w:sz w:val="24"/>
                <w:szCs w:val="24"/>
              </w:rPr>
            </w:pPr>
            <w:r>
              <w:rPr>
                <w:rFonts w:hint="eastAsia"/>
                <w:sz w:val="24"/>
                <w:szCs w:val="24"/>
              </w:rPr>
              <w:t>1.大二及以上本科生（非毕业班），非毕业班硕士生</w:t>
            </w:r>
          </w:p>
          <w:p>
            <w:pPr>
              <w:rPr>
                <w:sz w:val="24"/>
                <w:szCs w:val="24"/>
              </w:rPr>
            </w:pPr>
            <w:r>
              <w:rPr>
                <w:rFonts w:hint="eastAsia"/>
                <w:sz w:val="24"/>
                <w:szCs w:val="24"/>
              </w:rPr>
              <w:t>2.</w:t>
            </w:r>
            <w:r>
              <w:rPr>
                <w:rFonts w:hint="eastAsia"/>
                <w:color w:val="000000"/>
                <w:sz w:val="24"/>
                <w:szCs w:val="24"/>
                <w:shd w:val="clear" w:color="auto" w:fill="FFFFFF"/>
              </w:rPr>
              <w:t xml:space="preserve"> 雅思7分或托福机考100分</w:t>
            </w:r>
          </w:p>
          <w:p>
            <w:pPr>
              <w:rPr>
                <w:rFonts w:ascii="宋体" w:hAnsi="宋体" w:eastAsia="宋体" w:cs="宋体"/>
                <w:color w:val="000000"/>
                <w:kern w:val="0"/>
                <w:sz w:val="24"/>
                <w:szCs w:val="24"/>
              </w:rPr>
            </w:pPr>
            <w:r>
              <w:rPr>
                <w:rFonts w:hint="eastAsia"/>
                <w:sz w:val="24"/>
                <w:szCs w:val="24"/>
              </w:rPr>
              <w:t>3.成绩优良</w:t>
            </w:r>
          </w:p>
        </w:tc>
        <w:tc>
          <w:tcPr>
            <w:tcW w:w="2493" w:type="dxa"/>
          </w:tcPr>
          <w:p>
            <w:pPr>
              <w:rPr>
                <w:sz w:val="24"/>
                <w:szCs w:val="24"/>
                <w:highlight w:val="yellow"/>
              </w:rPr>
            </w:pPr>
            <w:r>
              <w:rPr>
                <w:rFonts w:hint="eastAsia"/>
                <w:sz w:val="24"/>
                <w:szCs w:val="24"/>
              </w:rPr>
              <w:t>每学年2名交换名额，</w:t>
            </w:r>
            <w:r>
              <w:rPr>
                <w:rFonts w:hint="eastAsia"/>
                <w:color w:val="000000"/>
                <w:sz w:val="24"/>
                <w:szCs w:val="24"/>
                <w:shd w:val="clear" w:color="auto" w:fill="FFFFFF"/>
              </w:rPr>
              <w:t>免学费，注册费、生活费等其他费用自理</w:t>
            </w:r>
            <w:r>
              <w:rPr>
                <w:rFonts w:hint="eastAsia"/>
                <w:sz w:val="24"/>
                <w:szCs w:val="24"/>
              </w:rPr>
              <w:t>（不对等交换的学生需承担相应学费）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sz w:val="24"/>
                <w:szCs w:val="24"/>
                <w:lang w:eastAsia="zh-CN"/>
              </w:rPr>
            </w:pPr>
            <w:r>
              <w:rPr>
                <w:rFonts w:hint="eastAsia"/>
                <w:sz w:val="24"/>
                <w:szCs w:val="24"/>
                <w:lang w:val="en-US" w:eastAsia="zh-CN"/>
              </w:rPr>
              <w:t>9</w:t>
            </w:r>
          </w:p>
        </w:tc>
        <w:tc>
          <w:tcPr>
            <w:tcW w:w="1418" w:type="dxa"/>
            <w:vAlign w:val="top"/>
          </w:tcPr>
          <w:p>
            <w:pPr>
              <w:rPr>
                <w:rFonts w:hint="eastAsia" w:asciiTheme="minorHAnsi" w:hAnsiTheme="minorHAnsi" w:eastAsiaTheme="minorEastAsia" w:cstheme="minorBidi"/>
                <w:kern w:val="2"/>
                <w:sz w:val="24"/>
                <w:szCs w:val="24"/>
                <w:lang w:val="en-US" w:eastAsia="zh-CN" w:bidi="ar-SA"/>
              </w:rPr>
            </w:pPr>
            <w:r>
              <w:rPr>
                <w:sz w:val="24"/>
                <w:szCs w:val="24"/>
              </w:rPr>
              <w:t>美国凯斯西储大学法学院学位项目</w:t>
            </w:r>
          </w:p>
        </w:tc>
        <w:tc>
          <w:tcPr>
            <w:tcW w:w="1587" w:type="dxa"/>
            <w:gridSpan w:val="2"/>
            <w:vAlign w:val="top"/>
          </w:tcPr>
          <w:p>
            <w:pPr>
              <w:rPr>
                <w:rFonts w:hint="eastAsia" w:asciiTheme="minorHAnsi" w:hAnsiTheme="minorHAnsi" w:eastAsiaTheme="minorEastAsia" w:cstheme="minorBidi"/>
                <w:kern w:val="2"/>
                <w:sz w:val="24"/>
                <w:szCs w:val="24"/>
                <w:lang w:val="en-US" w:eastAsia="zh-CN" w:bidi="ar-SA"/>
              </w:rPr>
            </w:pPr>
            <w:r>
              <w:rPr>
                <w:sz w:val="24"/>
                <w:szCs w:val="24"/>
              </w:rPr>
              <w:t>秋季或春季入学</w:t>
            </w:r>
          </w:p>
        </w:tc>
        <w:tc>
          <w:tcPr>
            <w:tcW w:w="2866" w:type="dxa"/>
            <w:vAlign w:val="top"/>
          </w:tcPr>
          <w:p>
            <w:pPr>
              <w:rPr>
                <w:sz w:val="24"/>
                <w:szCs w:val="24"/>
              </w:rPr>
            </w:pPr>
            <w:r>
              <w:rPr>
                <w:rFonts w:hint="eastAsia"/>
                <w:sz w:val="24"/>
                <w:szCs w:val="24"/>
              </w:rPr>
              <w:t>1.本科大三或大四学生，非毕业班的研究生；</w:t>
            </w:r>
          </w:p>
          <w:p>
            <w:pPr>
              <w:rPr>
                <w:sz w:val="24"/>
                <w:szCs w:val="24"/>
              </w:rPr>
            </w:pPr>
            <w:r>
              <w:rPr>
                <w:rFonts w:hint="eastAsia"/>
                <w:sz w:val="24"/>
                <w:szCs w:val="24"/>
              </w:rPr>
              <w:t>2.两年内有效的TOEFL（95以上）或IELTS(6.5)成绩；</w:t>
            </w:r>
          </w:p>
          <w:p>
            <w:pPr>
              <w:rPr>
                <w:rFonts w:hint="eastAsia" w:asciiTheme="minorHAnsi" w:hAnsiTheme="minorHAnsi" w:eastAsiaTheme="minorEastAsia" w:cstheme="minorBidi"/>
                <w:kern w:val="2"/>
                <w:sz w:val="24"/>
                <w:szCs w:val="24"/>
                <w:lang w:val="en-US" w:eastAsia="zh-CN" w:bidi="ar-SA"/>
              </w:rPr>
            </w:pPr>
            <w:r>
              <w:rPr>
                <w:rFonts w:hint="eastAsia"/>
                <w:sz w:val="24"/>
                <w:szCs w:val="24"/>
              </w:rPr>
              <w:t>3.学习成绩优良</w:t>
            </w:r>
          </w:p>
        </w:tc>
        <w:tc>
          <w:tcPr>
            <w:tcW w:w="2493" w:type="dxa"/>
            <w:vAlign w:val="top"/>
          </w:tcPr>
          <w:p>
            <w:pPr>
              <w:keepNext w:val="0"/>
              <w:keepLines w:val="0"/>
              <w:widowControl/>
              <w:suppressLineNumbers w:val="0"/>
              <w:spacing w:before="0" w:beforeAutospacing="0" w:after="150" w:afterAutospacing="0" w:line="21" w:lineRule="atLeast"/>
              <w:ind w:left="0" w:right="0"/>
              <w:jc w:val="left"/>
              <w:rPr>
                <w:rFonts w:hint="eastAsia" w:ascii="宋体" w:hAnsi="宋体" w:eastAsia="宋体" w:cs="宋体"/>
                <w:color w:val="333333"/>
                <w:kern w:val="0"/>
                <w:szCs w:val="21"/>
                <w:shd w:val="clear" w:fill="FFFFFF"/>
                <w:lang w:bidi="ar"/>
              </w:rPr>
            </w:pPr>
            <w:r>
              <w:rPr>
                <w:rFonts w:hint="eastAsia" w:ascii="宋体" w:hAnsi="宋体" w:eastAsia="宋体" w:cs="宋体"/>
                <w:color w:val="333333"/>
                <w:kern w:val="0"/>
                <w:sz w:val="21"/>
                <w:szCs w:val="21"/>
                <w:shd w:val="clear" w:fill="FFFFFF"/>
                <w:lang w:val="en-US" w:eastAsia="zh-CN" w:bidi="ar"/>
              </w:rPr>
              <w:t xml:space="preserve">若申请者语言成绩达到一定要求，即可有机会申请凯斯西储大学的奖学金，具体情况如下： </w:t>
            </w:r>
          </w:p>
          <w:p>
            <w:pPr>
              <w:ind w:left="0"/>
              <w:rPr>
                <w:rFonts w:hint="eastAsia" w:ascii="宋体" w:hAnsi="宋体" w:eastAsia="宋体" w:cs="宋体"/>
                <w:color w:val="333333"/>
                <w:kern w:val="0"/>
                <w:sz w:val="21"/>
                <w:szCs w:val="21"/>
                <w:shd w:val="clear" w:fill="FFFFFF"/>
                <w:lang w:bidi="ar"/>
              </w:rPr>
            </w:pPr>
            <w:r>
              <w:rPr>
                <w:rFonts w:hint="eastAsia" w:ascii="宋体" w:hAnsi="宋体" w:eastAsia="宋体" w:cs="宋体"/>
                <w:color w:val="333333"/>
                <w:kern w:val="0"/>
                <w:sz w:val="21"/>
                <w:szCs w:val="21"/>
                <w:shd w:val="clear" w:fill="FFFFFF"/>
                <w:lang w:bidi="ar"/>
              </w:rPr>
              <w:t xml:space="preserve"> 1. TOEFL≥90或IELTS≥7，</w:t>
            </w:r>
            <w:r>
              <w:rPr>
                <w:rFonts w:hint="eastAsia" w:ascii="宋体" w:hAnsi="宋体" w:eastAsia="宋体" w:cs="宋体"/>
                <w:color w:val="333333"/>
                <w:kern w:val="0"/>
                <w:sz w:val="21"/>
                <w:szCs w:val="21"/>
                <w:shd w:val="clear" w:fill="FFFFFF"/>
                <w:lang w:val="en-US" w:eastAsia="zh-CN" w:bidi="ar"/>
              </w:rPr>
              <w:t>40%学费减免</w:t>
            </w:r>
            <w:r>
              <w:rPr>
                <w:rFonts w:hint="eastAsia" w:ascii="宋体" w:hAnsi="宋体" w:eastAsia="宋体" w:cs="宋体"/>
                <w:color w:val="333333"/>
                <w:kern w:val="0"/>
                <w:sz w:val="21"/>
                <w:szCs w:val="21"/>
                <w:shd w:val="clear" w:fill="FFFFFF"/>
                <w:lang w:bidi="ar"/>
              </w:rPr>
              <w:t xml:space="preserve">； </w:t>
            </w:r>
          </w:p>
          <w:p>
            <w:pPr>
              <w:rPr>
                <w:rFonts w:hint="eastAsia" w:ascii="宋体" w:hAnsi="宋体" w:eastAsia="宋体" w:cs="宋体"/>
                <w:color w:val="333333"/>
                <w:kern w:val="0"/>
                <w:sz w:val="21"/>
                <w:szCs w:val="21"/>
                <w:shd w:val="clear" w:fill="FFFFFF"/>
                <w:lang w:bidi="ar"/>
              </w:rPr>
            </w:pPr>
            <w:r>
              <w:rPr>
                <w:rFonts w:hint="eastAsia" w:ascii="宋体" w:hAnsi="宋体" w:eastAsia="宋体" w:cs="宋体"/>
                <w:color w:val="333333"/>
                <w:kern w:val="0"/>
                <w:sz w:val="21"/>
                <w:szCs w:val="21"/>
                <w:shd w:val="clear" w:fill="FFFFFF"/>
                <w:lang w:bidi="ar"/>
              </w:rPr>
              <w:t>2. 80≤TOEFL≤89或IELTS6.5，</w:t>
            </w:r>
            <w:r>
              <w:rPr>
                <w:rFonts w:hint="eastAsia" w:ascii="宋体" w:hAnsi="宋体" w:eastAsia="宋体" w:cs="宋体"/>
                <w:color w:val="333333"/>
                <w:kern w:val="0"/>
                <w:sz w:val="21"/>
                <w:szCs w:val="21"/>
                <w:shd w:val="clear" w:fill="FFFFFF"/>
                <w:lang w:val="en-US" w:eastAsia="zh-CN" w:bidi="ar"/>
              </w:rPr>
              <w:t>30%学费减免</w:t>
            </w:r>
            <w:r>
              <w:rPr>
                <w:rFonts w:hint="eastAsia" w:ascii="宋体" w:hAnsi="宋体" w:eastAsia="宋体" w:cs="宋体"/>
                <w:color w:val="333333"/>
                <w:kern w:val="0"/>
                <w:sz w:val="21"/>
                <w:szCs w:val="21"/>
                <w:shd w:val="clear" w:fill="FFFFFF"/>
                <w:lang w:bidi="ar"/>
              </w:rPr>
              <w:t xml:space="preserve">； </w:t>
            </w:r>
          </w:p>
          <w:p>
            <w:pPr>
              <w:rPr>
                <w:rFonts w:hint="eastAsia" w:ascii="宋体" w:hAnsi="宋体" w:eastAsia="宋体" w:cs="宋体"/>
                <w:color w:val="333333"/>
                <w:kern w:val="0"/>
                <w:sz w:val="21"/>
                <w:szCs w:val="21"/>
                <w:shd w:val="clear" w:fill="FFFFFF"/>
                <w:lang w:bidi="ar"/>
              </w:rPr>
            </w:pPr>
            <w:r>
              <w:rPr>
                <w:rFonts w:hint="eastAsia" w:ascii="宋体" w:hAnsi="宋体" w:eastAsia="宋体" w:cs="宋体"/>
                <w:color w:val="333333"/>
                <w:kern w:val="0"/>
                <w:sz w:val="21"/>
                <w:szCs w:val="21"/>
                <w:shd w:val="clear" w:fill="FFFFFF"/>
                <w:lang w:bidi="ar"/>
              </w:rPr>
              <w:t>3. 70≤TOEFL≤79或IELTS6.0，</w:t>
            </w:r>
            <w:r>
              <w:rPr>
                <w:rFonts w:hint="eastAsia" w:ascii="宋体" w:hAnsi="宋体" w:eastAsia="宋体" w:cs="宋体"/>
                <w:color w:val="333333"/>
                <w:kern w:val="0"/>
                <w:sz w:val="21"/>
                <w:szCs w:val="21"/>
                <w:shd w:val="clear" w:fill="FFFFFF"/>
                <w:lang w:val="en-US" w:eastAsia="zh-CN" w:bidi="ar"/>
              </w:rPr>
              <w:t>20%学费减免</w:t>
            </w:r>
            <w:r>
              <w:rPr>
                <w:rFonts w:hint="eastAsia" w:ascii="宋体" w:hAnsi="宋体" w:eastAsia="宋体" w:cs="宋体"/>
                <w:color w:val="333333"/>
                <w:kern w:val="0"/>
                <w:sz w:val="21"/>
                <w:szCs w:val="21"/>
                <w:shd w:val="clear" w:fill="FFFFFF"/>
                <w:lang w:bidi="ar"/>
              </w:rPr>
              <w:t xml:space="preserve">。 </w:t>
            </w:r>
          </w:p>
          <w:p>
            <w:pPr>
              <w:rPr>
                <w:rFonts w:hint="eastAsia" w:asciiTheme="minorHAnsi" w:hAnsiTheme="minorHAnsi" w:eastAsiaTheme="minorEastAsia"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sz w:val="24"/>
                <w:szCs w:val="24"/>
                <w:lang w:val="en-US" w:eastAsia="zh-CN"/>
              </w:rPr>
            </w:pPr>
            <w:r>
              <w:rPr>
                <w:rFonts w:hint="eastAsia"/>
                <w:sz w:val="24"/>
                <w:szCs w:val="24"/>
                <w:lang w:val="en-US" w:eastAsia="zh-CN"/>
              </w:rPr>
              <w:t>10</w:t>
            </w:r>
          </w:p>
        </w:tc>
        <w:tc>
          <w:tcPr>
            <w:tcW w:w="1418" w:type="dxa"/>
            <w:vAlign w:val="top"/>
          </w:tcPr>
          <w:p>
            <w:pPr>
              <w:rPr>
                <w:sz w:val="24"/>
                <w:szCs w:val="24"/>
              </w:rPr>
            </w:pPr>
            <w:r>
              <w:rPr>
                <w:sz w:val="24"/>
                <w:szCs w:val="24"/>
              </w:rPr>
              <w:t>美国凯斯西储大学法学院</w:t>
            </w:r>
            <w:r>
              <w:rPr>
                <w:rFonts w:hint="eastAsia"/>
                <w:sz w:val="24"/>
                <w:szCs w:val="24"/>
                <w:lang w:val="en-US" w:eastAsia="zh-CN"/>
              </w:rPr>
              <w:t>交换</w:t>
            </w:r>
            <w:r>
              <w:rPr>
                <w:sz w:val="24"/>
                <w:szCs w:val="24"/>
              </w:rPr>
              <w:t>项目</w:t>
            </w:r>
          </w:p>
        </w:tc>
        <w:tc>
          <w:tcPr>
            <w:tcW w:w="1587" w:type="dxa"/>
            <w:gridSpan w:val="2"/>
            <w:vAlign w:val="top"/>
          </w:tcPr>
          <w:p>
            <w:pPr>
              <w:rPr>
                <w:rFonts w:hint="default" w:eastAsiaTheme="minorEastAsia"/>
                <w:sz w:val="24"/>
                <w:szCs w:val="24"/>
                <w:lang w:val="en-US" w:eastAsia="zh-CN"/>
              </w:rPr>
            </w:pPr>
            <w:r>
              <w:rPr>
                <w:rFonts w:hint="eastAsia"/>
                <w:sz w:val="24"/>
                <w:szCs w:val="24"/>
                <w:lang w:val="en-US" w:eastAsia="zh-CN"/>
              </w:rPr>
              <w:t>秋季或春季入学，每学年至多2个名额，一学期</w:t>
            </w:r>
          </w:p>
        </w:tc>
        <w:tc>
          <w:tcPr>
            <w:tcW w:w="2866" w:type="dxa"/>
            <w:vAlign w:val="top"/>
          </w:tcPr>
          <w:p>
            <w:pPr>
              <w:rPr>
                <w:color w:val="auto"/>
                <w:sz w:val="24"/>
                <w:szCs w:val="24"/>
                <w:highlight w:val="none"/>
                <w:shd w:val="clear" w:color="auto" w:fill="FFFFFF"/>
              </w:rPr>
            </w:pPr>
            <w:r>
              <w:rPr>
                <w:rFonts w:hint="eastAsia"/>
                <w:color w:val="auto"/>
                <w:sz w:val="24"/>
                <w:szCs w:val="24"/>
                <w:highlight w:val="none"/>
                <w:shd w:val="clear" w:color="auto" w:fill="FFFFFF"/>
              </w:rPr>
              <w:t>1.光华法学院在校本科生（非毕业班)，申请者需完成大学本科三年以上课</w:t>
            </w:r>
          </w:p>
          <w:p>
            <w:pPr>
              <w:rPr>
                <w:color w:val="auto"/>
                <w:sz w:val="24"/>
                <w:szCs w:val="24"/>
                <w:highlight w:val="none"/>
              </w:rPr>
            </w:pPr>
            <w:r>
              <w:rPr>
                <w:rFonts w:hint="eastAsia"/>
                <w:color w:val="auto"/>
                <w:sz w:val="24"/>
                <w:szCs w:val="24"/>
                <w:highlight w:val="none"/>
                <w:shd w:val="clear" w:color="auto" w:fill="FFFFFF"/>
              </w:rPr>
              <w:t>2.雅思6.5分，或托福95分</w:t>
            </w:r>
          </w:p>
          <w:p>
            <w:pPr>
              <w:rPr>
                <w:rFonts w:hint="eastAsia"/>
                <w:sz w:val="24"/>
                <w:szCs w:val="24"/>
              </w:rPr>
            </w:pPr>
            <w:r>
              <w:rPr>
                <w:rFonts w:hint="eastAsia"/>
                <w:color w:val="auto"/>
                <w:sz w:val="24"/>
                <w:szCs w:val="24"/>
                <w:highlight w:val="none"/>
              </w:rPr>
              <w:t>3.学习成绩优良</w:t>
            </w:r>
          </w:p>
        </w:tc>
        <w:tc>
          <w:tcPr>
            <w:tcW w:w="2493" w:type="dxa"/>
            <w:vAlign w:val="top"/>
          </w:tcPr>
          <w:p>
            <w:pPr>
              <w:rPr>
                <w:rFonts w:hint="eastAsia"/>
                <w:color w:val="000000"/>
                <w:sz w:val="24"/>
                <w:szCs w:val="24"/>
                <w:shd w:val="clear" w:color="auto" w:fill="FFFFFF"/>
              </w:rPr>
            </w:pPr>
            <w:r>
              <w:rPr>
                <w:rFonts w:hint="eastAsia"/>
                <w:color w:val="000000"/>
                <w:sz w:val="24"/>
                <w:szCs w:val="24"/>
                <w:shd w:val="clear" w:color="auto"/>
              </w:rPr>
              <w:t>免学费，</w:t>
            </w:r>
            <w:r>
              <w:rPr>
                <w:rFonts w:hint="eastAsia"/>
                <w:color w:val="000000"/>
                <w:sz w:val="24"/>
                <w:szCs w:val="24"/>
                <w:shd w:val="clear" w:color="auto"/>
                <w:lang w:val="en-US" w:eastAsia="zh-CN"/>
              </w:rPr>
              <w:t>注册费生活费等其余费用自理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sz w:val="24"/>
                <w:szCs w:val="24"/>
                <w:lang w:val="en-US" w:eastAsia="zh-CN"/>
              </w:rPr>
            </w:pPr>
            <w:r>
              <w:rPr>
                <w:rFonts w:hint="eastAsia"/>
                <w:sz w:val="24"/>
                <w:szCs w:val="24"/>
                <w:lang w:val="en-US" w:eastAsia="zh-CN"/>
              </w:rPr>
              <w:t>11</w:t>
            </w:r>
          </w:p>
        </w:tc>
        <w:tc>
          <w:tcPr>
            <w:tcW w:w="1418" w:type="dxa"/>
            <w:vAlign w:val="top"/>
          </w:tcPr>
          <w:p>
            <w:pPr>
              <w:rPr>
                <w:sz w:val="24"/>
                <w:szCs w:val="24"/>
              </w:rPr>
            </w:pPr>
            <w:r>
              <w:rPr>
                <w:sz w:val="24"/>
                <w:szCs w:val="24"/>
                <w:lang w:val="en-US" w:eastAsia="zh-CN"/>
              </w:rPr>
              <w:t>德国法兰克福歌德大学法律与金融学院全英语国际金融法学硕士项目</w:t>
            </w:r>
          </w:p>
          <w:p>
            <w:pPr>
              <w:rPr>
                <w:rFonts w:hint="default" w:eastAsiaTheme="minorEastAsia"/>
                <w:sz w:val="24"/>
                <w:szCs w:val="24"/>
                <w:lang w:val="en-US" w:eastAsia="zh-CN"/>
              </w:rPr>
            </w:pPr>
          </w:p>
        </w:tc>
        <w:tc>
          <w:tcPr>
            <w:tcW w:w="1587" w:type="dxa"/>
            <w:gridSpan w:val="2"/>
            <w:vAlign w:val="top"/>
          </w:tcPr>
          <w:p>
            <w:pPr>
              <w:rPr>
                <w:rFonts w:hint="default" w:eastAsiaTheme="minorEastAsia"/>
                <w:sz w:val="24"/>
                <w:szCs w:val="24"/>
                <w:lang w:eastAsia="zh-CN"/>
              </w:rPr>
            </w:pPr>
            <w:r>
              <w:rPr>
                <w:rFonts w:hint="eastAsia"/>
                <w:sz w:val="24"/>
                <w:szCs w:val="24"/>
                <w:lang w:val="en-US" w:eastAsia="zh-CN"/>
              </w:rPr>
              <w:t>2021年秋学期派出</w:t>
            </w:r>
          </w:p>
        </w:tc>
        <w:tc>
          <w:tcPr>
            <w:tcW w:w="2866" w:type="dxa"/>
            <w:vAlign w:val="top"/>
          </w:tcPr>
          <w:p>
            <w:pPr>
              <w:pStyle w:val="2"/>
              <w:keepNext w:val="0"/>
              <w:keepLines w:val="0"/>
              <w:widowControl/>
              <w:suppressLineNumbers w:val="0"/>
              <w:spacing w:line="300" w:lineRule="auto"/>
              <w:ind w:left="0" w:right="0"/>
              <w:rPr>
                <w:rFonts w:hint="eastAsia"/>
              </w:rPr>
            </w:pPr>
            <w:r>
              <w:rPr>
                <w:rFonts w:hint="eastAsia" w:ascii="宋体" w:hAnsi="宋体" w:eastAsia="宋体" w:cs="宋体"/>
                <w:color w:val="000000"/>
                <w:sz w:val="22"/>
                <w:szCs w:val="22"/>
                <w:shd w:val="clear" w:fill="FFFFFF"/>
              </w:rPr>
              <w:t xml:space="preserve">本科为法律、经济、金融、商科的本科应届毕业生；法律、经济、金融、商科硕士或博士在读或毕业生；法律、金融或商务领域从业者。不设年龄上限 </w:t>
            </w:r>
          </w:p>
          <w:p>
            <w:pPr>
              <w:rPr>
                <w:rFonts w:hint="eastAsia"/>
                <w:sz w:val="24"/>
                <w:szCs w:val="24"/>
              </w:rPr>
            </w:pPr>
          </w:p>
        </w:tc>
        <w:tc>
          <w:tcPr>
            <w:tcW w:w="2493" w:type="dxa"/>
            <w:vAlign w:val="top"/>
          </w:tcPr>
          <w:p>
            <w:pPr>
              <w:rPr>
                <w:rFonts w:hint="eastAsia"/>
                <w:color w:val="000000"/>
                <w:sz w:val="24"/>
                <w:szCs w:val="24"/>
                <w:shd w:val="clear" w:color="auto" w:fill="FFFFFF"/>
              </w:rPr>
            </w:pPr>
            <w:r>
              <w:rPr>
                <w:rFonts w:hint="eastAsia"/>
                <w:b w:val="0"/>
                <w:bCs w:val="0"/>
                <w:color w:val="000000"/>
                <w:sz w:val="24"/>
                <w:szCs w:val="24"/>
                <w:shd w:val="clear" w:color="auto"/>
                <w:lang w:val="en-US" w:eastAsia="zh-CN"/>
              </w:rPr>
              <w:t>2021年1月15日前递交材料可申请奖学金（15%学费减免），2021年2月28日前可申请奖学金（10%学费减免）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hint="default"/>
                <w:sz w:val="24"/>
                <w:szCs w:val="24"/>
                <w:lang w:val="en-US" w:eastAsia="zh-CN"/>
              </w:rPr>
            </w:pPr>
            <w:r>
              <w:rPr>
                <w:rFonts w:hint="eastAsia"/>
                <w:sz w:val="24"/>
                <w:szCs w:val="24"/>
                <w:lang w:val="en-US" w:eastAsia="zh-CN"/>
              </w:rPr>
              <w:t>12</w:t>
            </w:r>
          </w:p>
        </w:tc>
        <w:tc>
          <w:tcPr>
            <w:tcW w:w="1418" w:type="dxa"/>
            <w:vAlign w:val="top"/>
          </w:tcPr>
          <w:p>
            <w:pPr>
              <w:rPr>
                <w:rFonts w:hint="default"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rPr>
              <w:t>美国加州大学戴维斯分校法学院联合培养LLM法学硕士研究生项目</w:t>
            </w:r>
          </w:p>
        </w:tc>
        <w:tc>
          <w:tcPr>
            <w:tcW w:w="1587" w:type="dxa"/>
            <w:gridSpan w:val="2"/>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秋季</w:t>
            </w:r>
            <w:r>
              <w:rPr>
                <w:rFonts w:hint="eastAsia" w:ascii="宋体" w:hAnsi="宋体" w:eastAsia="宋体" w:cs="宋体"/>
                <w:color w:val="000000"/>
                <w:kern w:val="0"/>
                <w:sz w:val="24"/>
                <w:szCs w:val="24"/>
                <w:lang w:val="en-US" w:eastAsia="zh-CN"/>
              </w:rPr>
              <w:t>或春季</w:t>
            </w:r>
            <w:r>
              <w:rPr>
                <w:rFonts w:hint="eastAsia" w:ascii="宋体" w:hAnsi="宋体" w:eastAsia="宋体" w:cs="宋体"/>
                <w:color w:val="000000"/>
                <w:kern w:val="0"/>
                <w:sz w:val="24"/>
                <w:szCs w:val="24"/>
              </w:rPr>
              <w:t>入学，一学年</w:t>
            </w:r>
          </w:p>
        </w:tc>
        <w:tc>
          <w:tcPr>
            <w:tcW w:w="2866" w:type="dxa"/>
            <w:vAlign w:val="top"/>
          </w:tcPr>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1.本科大三、大四学生，本科法学专业研究生，本科非法学专业研三学生及博士研究生；</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2.两年内有效的TOEFL（88分以上）或IELTS（6.5以上）成绩；</w:t>
            </w:r>
          </w:p>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3.学术成绩表现优异，GPA达到3.0以上（GPA4.0为满分标准）</w:t>
            </w:r>
          </w:p>
        </w:tc>
        <w:tc>
          <w:tcPr>
            <w:tcW w:w="2493" w:type="dxa"/>
            <w:vAlign w:val="top"/>
          </w:tcPr>
          <w:p>
            <w:pPr>
              <w:rPr>
                <w:rFonts w:hint="eastAsia" w:asciiTheme="minorHAnsi" w:hAnsiTheme="minorHAnsi" w:eastAsiaTheme="minorEastAsia" w:cstheme="minorBidi"/>
                <w:kern w:val="2"/>
                <w:sz w:val="24"/>
                <w:szCs w:val="24"/>
                <w:lang w:val="en-US" w:eastAsia="zh-CN" w:bidi="ar-SA"/>
              </w:rPr>
            </w:pPr>
            <w:r>
              <w:rPr>
                <w:rFonts w:hint="eastAsia"/>
                <w:sz w:val="24"/>
                <w:szCs w:val="24"/>
              </w:rPr>
              <w:t>自费，可申请奖学金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A6B1D"/>
    <w:rsid w:val="077403C7"/>
    <w:rsid w:val="0DC000ED"/>
    <w:rsid w:val="16060F99"/>
    <w:rsid w:val="18777E6C"/>
    <w:rsid w:val="204D18AB"/>
    <w:rsid w:val="385A6B1D"/>
    <w:rsid w:val="42DB1DF6"/>
    <w:rsid w:val="526F17FC"/>
    <w:rsid w:val="77CF2DC4"/>
    <w:rsid w:val="7BB7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800000"/>
      <w:u w:val="none"/>
    </w:rPr>
  </w:style>
  <w:style w:type="character" w:styleId="8">
    <w:name w:val="HTML Definition"/>
    <w:basedOn w:val="5"/>
    <w:qFormat/>
    <w:uiPriority w:val="0"/>
    <w:rPr>
      <w:i/>
    </w:rPr>
  </w:style>
  <w:style w:type="character" w:styleId="9">
    <w:name w:val="Hyperlink"/>
    <w:basedOn w:val="5"/>
    <w:qFormat/>
    <w:uiPriority w:val="0"/>
    <w:rPr>
      <w:color w:val="800000"/>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addr"/>
    <w:basedOn w:val="5"/>
    <w:qFormat/>
    <w:uiPriority w:val="0"/>
  </w:style>
  <w:style w:type="character" w:customStyle="1" w:styleId="14">
    <w:name w:val="links-name2"/>
    <w:basedOn w:val="5"/>
    <w:qFormat/>
    <w:uiPriority w:val="0"/>
    <w:rPr>
      <w:color w:val="000000"/>
    </w:rPr>
  </w:style>
  <w:style w:type="character" w:customStyle="1" w:styleId="15">
    <w:name w:val="pubdate-month"/>
    <w:basedOn w:val="5"/>
    <w:qFormat/>
    <w:uiPriority w:val="0"/>
    <w:rPr>
      <w:color w:val="FFFFFF"/>
      <w:sz w:val="24"/>
      <w:szCs w:val="24"/>
      <w:shd w:val="clear" w:fill="CC0000"/>
    </w:rPr>
  </w:style>
  <w:style w:type="character" w:customStyle="1" w:styleId="16">
    <w:name w:val="pubdate-day"/>
    <w:basedOn w:val="5"/>
    <w:qFormat/>
    <w:uiPriority w:val="0"/>
    <w:rPr>
      <w:shd w:val="clear" w:fill="F2F2F2"/>
    </w:rPr>
  </w:style>
  <w:style w:type="character" w:customStyle="1" w:styleId="17">
    <w:name w:val="item-name"/>
    <w:basedOn w:val="5"/>
    <w:qFormat/>
    <w:uiPriority w:val="0"/>
  </w:style>
  <w:style w:type="character" w:customStyle="1" w:styleId="18">
    <w:name w:val="item-name1"/>
    <w:basedOn w:val="5"/>
    <w:qFormat/>
    <w:uiPriority w:val="0"/>
  </w:style>
  <w:style w:type="character" w:customStyle="1" w:styleId="19">
    <w:name w:val="mod_ttile"/>
    <w:basedOn w:val="5"/>
    <w:qFormat/>
    <w:uiPriority w:val="0"/>
  </w:style>
  <w:style w:type="character" w:customStyle="1" w:styleId="20">
    <w:name w:val="news_tit_cn"/>
    <w:basedOn w:val="5"/>
    <w:qFormat/>
    <w:uiPriority w:val="0"/>
    <w:rPr>
      <w:color w:val="800000"/>
      <w:sz w:val="27"/>
      <w:szCs w:val="27"/>
    </w:rPr>
  </w:style>
  <w:style w:type="character" w:customStyle="1" w:styleId="21">
    <w:name w:val="more_sit"/>
    <w:basedOn w:val="5"/>
    <w:qFormat/>
    <w:uiPriority w:val="0"/>
  </w:style>
  <w:style w:type="character" w:customStyle="1" w:styleId="22">
    <w:name w:val="mod_date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Yuan ZHONG</dc:creator>
  <cp:lastModifiedBy>Yuan ZHONG</cp:lastModifiedBy>
  <dcterms:modified xsi:type="dcterms:W3CDTF">2020-09-30T06:49:06Z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