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84A07">
      <w:pPr>
        <w:spacing w:before="0" w:after="120" w:line="680" w:lineRule="exact"/>
        <w:jc w:val="center"/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浙江大学光华法学院</w:t>
      </w:r>
    </w:p>
    <w:p w14:paraId="0E501260">
      <w:pPr>
        <w:spacing w:before="0" w:after="320" w:line="680" w:lineRule="exact"/>
        <w:jc w:val="center"/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法律博士专项奖学金评审办法（试行）</w:t>
      </w:r>
    </w:p>
    <w:p w14:paraId="72A06394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第一条</w:t>
      </w:r>
      <w:r>
        <w:rPr>
          <w:rFonts w:ascii="仿宋_GB2312" w:hAnsi="仿宋_GB2312" w:eastAsia="仿宋_GB2312" w:cs="仿宋_GB2312"/>
          <w:sz w:val="32"/>
          <w:szCs w:val="32"/>
        </w:rPr>
        <w:t>　为培养德法兼修、堪当法治重任的实务领军人才，鼓励法律博士研究生勤奋学习、潜心钻研、立足实务、服务法治，学院设立法律博士专项奖学金（以下简称本奖学金）。本奖学金为院设专项奖学金，经费列入学院年度预算，实行总额控制。根据《浙江大学研究生荣誉称号和奖学金评定管理办法》（浙大发研〔2022〕47号）等学校有关规定，结合学院实际，制定本办法。</w:t>
      </w:r>
    </w:p>
    <w:p w14:paraId="3AAF4B26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第二条</w:t>
      </w:r>
      <w:r>
        <w:rPr>
          <w:rFonts w:ascii="仿宋_GB2312" w:hAnsi="仿宋_GB2312" w:eastAsia="仿宋_GB2312" w:cs="仿宋_GB2312"/>
          <w:sz w:val="32"/>
          <w:szCs w:val="32"/>
        </w:rPr>
        <w:t>　本奖学金评审坚持公开、公平、公正原则，以培养实务领军人才为导向，以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成果报告为依据，对参评学生的学术研究、法治实践成果及思想政治与学业情况量化赋分、择优评选。</w:t>
      </w:r>
    </w:p>
    <w:p w14:paraId="1CE5C6B2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第三条</w:t>
      </w:r>
      <w:r>
        <w:rPr>
          <w:rFonts w:ascii="仿宋_GB2312" w:hAnsi="仿宋_GB2312" w:eastAsia="仿宋_GB2312" w:cs="仿宋_GB2312"/>
          <w:sz w:val="32"/>
          <w:szCs w:val="32"/>
        </w:rPr>
        <w:t>　学院成立法律博士专项奖学金评审委员会（以下简称评审委员会），负责本奖学金的组织实施。评审委员会由不少于5人组成，成员包括学院主要领导、分管法律博士工作的负责人、法律博士研究生导师、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辅导员</w:t>
      </w:r>
      <w:r>
        <w:rPr>
          <w:rFonts w:ascii="仿宋_GB2312" w:hAnsi="仿宋_GB2312" w:eastAsia="仿宋_GB2312" w:cs="仿宋_GB2312"/>
          <w:sz w:val="32"/>
          <w:szCs w:val="32"/>
        </w:rPr>
        <w:t>等。</w:t>
      </w:r>
    </w:p>
    <w:p w14:paraId="5C9AEB33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一、奖项设置</w:t>
      </w:r>
    </w:p>
    <w:p w14:paraId="1106EECB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第四条</w:t>
      </w:r>
      <w:r>
        <w:rPr>
          <w:rFonts w:ascii="仿宋_GB2312" w:hAnsi="仿宋_GB2312" w:eastAsia="仿宋_GB2312" w:cs="仿宋_GB2312"/>
          <w:sz w:val="32"/>
          <w:szCs w:val="32"/>
        </w:rPr>
        <w:t>　本奖学金设一等奖、二等奖、三等奖三个等级，一等奖七万元，二等奖三万元，三等奖一万元。各等级奖励名额，由学院根据当年预算总额及参评基数确定，在当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评选通知中公布。</w:t>
      </w:r>
    </w:p>
    <w:p w14:paraId="18A993F1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第五条</w:t>
      </w:r>
      <w:r>
        <w:rPr>
          <w:rFonts w:ascii="仿宋_GB2312" w:hAnsi="仿宋_GB2312" w:eastAsia="仿宋_GB2312" w:cs="仿宋_GB2312"/>
          <w:sz w:val="32"/>
          <w:szCs w:val="32"/>
        </w:rPr>
        <w:t>　本奖学金年度发放总额控制在学院核定的年度预算范围内。</w:t>
      </w:r>
    </w:p>
    <w:p w14:paraId="6DED8E1B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二、参评对象与参评资格</w:t>
      </w:r>
    </w:p>
    <w:p w14:paraId="4CAA2034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第六条</w:t>
      </w:r>
      <w:r>
        <w:rPr>
          <w:rFonts w:ascii="仿宋_GB2312" w:hAnsi="仿宋_GB2312" w:eastAsia="仿宋_GB2312" w:cs="仿宋_GB2312"/>
          <w:sz w:val="32"/>
          <w:szCs w:val="32"/>
        </w:rPr>
        <w:t>　参评对象为学院在读法律博士研究生。</w:t>
      </w:r>
    </w:p>
    <w:p w14:paraId="1FF97830">
      <w:pPr>
        <w:spacing w:before="0" w:after="0" w:line="560" w:lineRule="exact"/>
        <w:ind w:firstLine="643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第七条</w:t>
      </w:r>
      <w:r>
        <w:rPr>
          <w:rFonts w:ascii="仿宋_GB2312" w:hAnsi="仿宋_GB2312" w:eastAsia="仿宋_GB2312" w:cs="仿宋_GB2312"/>
          <w:sz w:val="32"/>
          <w:szCs w:val="32"/>
        </w:rPr>
        <w:t>　参评学生应当符合《浙江大学研究生荣誉称号和奖学金评定管理办法》（浙大发研〔2022〕47号）第二条规定的参评基本条件，主要包括：热爱祖国，拥护中国共产党的领导，遵守宪法、法律和学校规章制度；学习勤奋，诚实守信；按要求缴纳学费并完成注册；参评学年不处于休学、保留入学资格等学籍状态。</w:t>
      </w:r>
    </w:p>
    <w:p w14:paraId="2ADBB43F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第八条</w:t>
      </w:r>
      <w:r>
        <w:rPr>
          <w:rFonts w:ascii="仿宋_GB2312" w:hAnsi="仿宋_GB2312" w:eastAsia="仿宋_GB2312" w:cs="仿宋_GB2312"/>
          <w:sz w:val="32"/>
          <w:szCs w:val="32"/>
        </w:rPr>
        <w:t>　参评学生应当课程学习态度端正、学业水平良好，评审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课程成绩无不合格记录，且已取得成绩课程平均分不低于80分。课程成绩以申报截止日前教务系统已取得成绩的课程为准；等级制课程按学校有关规定折算为百分制。因修课数量差异出现明显不合理情形的，由评审委员会结合实际情况综合研判。</w:t>
      </w:r>
    </w:p>
    <w:p w14:paraId="5113A3C8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第九条</w:t>
      </w:r>
      <w:r>
        <w:rPr>
          <w:rFonts w:ascii="仿宋_GB2312" w:hAnsi="仿宋_GB2312" w:eastAsia="仿宋_GB2312" w:cs="仿宋_GB2312"/>
          <w:sz w:val="32"/>
          <w:szCs w:val="32"/>
        </w:rPr>
        <w:t>　有下列情形之一的，不具备当年参评资格：</w:t>
      </w:r>
    </w:p>
    <w:p w14:paraId="711A80DA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（一）受到纪律处分且处分未解除的；</w:t>
      </w:r>
    </w:p>
    <w:p w14:paraId="5C50204F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（二）有抄袭剽窃、弄虚作假等学术不端行为经查证属实的；</w:t>
      </w:r>
    </w:p>
    <w:p w14:paraId="6F588FF2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（三）处于休学、保留学籍等学籍状态异常期间的；</w:t>
      </w:r>
    </w:p>
    <w:p w14:paraId="46F5D40C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（四）未达到本办法第八条规定的课程成绩要求的；</w:t>
      </w:r>
    </w:p>
    <w:p w14:paraId="183D4D29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（五）学院认定的其他不适宜参评的情形。</w:t>
      </w:r>
    </w:p>
    <w:p w14:paraId="1DED0DA8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三、成果报告与量化赋分</w:t>
      </w:r>
    </w:p>
    <w:p w14:paraId="3BE3B25D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第十条</w:t>
      </w:r>
      <w:r>
        <w:rPr>
          <w:rFonts w:ascii="仿宋_GB2312" w:hAnsi="仿宋_GB2312" w:eastAsia="仿宋_GB2312" w:cs="仿宋_GB2312"/>
          <w:sz w:val="32"/>
          <w:szCs w:val="32"/>
        </w:rPr>
        <w:t>　参评学生应当于当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评选通知规定的期限内，向学院提交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成果报告及相应证明材料。未在规定期限内提交的，视为放弃参评资格。</w:t>
      </w:r>
    </w:p>
    <w:p w14:paraId="544F1B3B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第十一条</w:t>
      </w:r>
      <w:r>
        <w:rPr>
          <w:rFonts w:ascii="仿宋_GB2312" w:hAnsi="仿宋_GB2312" w:eastAsia="仿宋_GB2312" w:cs="仿宋_GB2312"/>
          <w:sz w:val="32"/>
          <w:szCs w:val="32"/>
        </w:rPr>
        <w:t>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成果报告由参评学生本人撰写，经本人签名确认后提交。报告应当如实反映本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日常思想政治表现、课程学习、学术研究、法治实践成果等方面情况，并附代表性成果清单及相应证明材料。报告的具体格式要求，由当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评选通知明确。</w:t>
      </w:r>
    </w:p>
    <w:p w14:paraId="5DFDA17E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第十二条</w:t>
      </w:r>
      <w:r>
        <w:rPr>
          <w:rFonts w:ascii="仿宋_GB2312" w:hAnsi="仿宋_GB2312" w:eastAsia="仿宋_GB2312" w:cs="仿宋_GB2312"/>
          <w:sz w:val="32"/>
          <w:szCs w:val="32"/>
        </w:rPr>
        <w:t>　报告所涉成果应当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</w:t>
      </w:r>
      <w:r>
        <w:rPr>
          <w:rFonts w:ascii="仿宋_GB2312" w:hAnsi="仿宋_GB2312" w:eastAsia="仿宋_GB2312" w:cs="仿宋_GB2312"/>
          <w:sz w:val="32"/>
          <w:szCs w:val="32"/>
        </w:rPr>
        <w:t>法律博士在读期间，对应评审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内取得，同一成果不得重复提交使用。成果归属存在争议的，由评审委员会结合成果性质认定。</w:t>
      </w:r>
    </w:p>
    <w:p w14:paraId="03070E4F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第十三条</w:t>
      </w:r>
      <w:r>
        <w:rPr>
          <w:rFonts w:ascii="仿宋_GB2312" w:hAnsi="仿宋_GB2312" w:eastAsia="仿宋_GB2312" w:cs="仿宋_GB2312"/>
          <w:sz w:val="32"/>
          <w:szCs w:val="32"/>
        </w:rPr>
        <w:t>　评审以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成果报告为依据，对思想政治与学业情况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ascii="仿宋_GB2312" w:hAnsi="仿宋_GB2312" w:eastAsia="仿宋_GB2312" w:cs="仿宋_GB2312"/>
          <w:sz w:val="32"/>
          <w:szCs w:val="32"/>
        </w:rPr>
        <w:t>学术研究、法治实践成果三个评价项目分别赋分，按下表所列权重合成总分：</w:t>
      </w: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438"/>
        <w:gridCol w:w="684"/>
        <w:gridCol w:w="2780"/>
        <w:gridCol w:w="1925"/>
      </w:tblGrid>
      <w:tr w14:paraId="0861C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38" w:type="dxa"/>
            <w:shd w:val="clear" w:color="auto" w:fill="F2F2F2"/>
            <w:vAlign w:val="center"/>
          </w:tcPr>
          <w:p w14:paraId="074F69FF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评价项目</w:t>
            </w:r>
          </w:p>
        </w:tc>
        <w:tc>
          <w:tcPr>
            <w:tcW w:w="684" w:type="dxa"/>
            <w:shd w:val="clear" w:color="auto" w:fill="F2F2F2"/>
            <w:vAlign w:val="center"/>
          </w:tcPr>
          <w:p w14:paraId="59BB4FB3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权重</w:t>
            </w:r>
          </w:p>
        </w:tc>
        <w:tc>
          <w:tcPr>
            <w:tcW w:w="2780" w:type="dxa"/>
            <w:shd w:val="clear" w:color="auto" w:fill="F2F2F2"/>
            <w:vAlign w:val="center"/>
          </w:tcPr>
          <w:p w14:paraId="52FE8140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赋分依据</w:t>
            </w:r>
          </w:p>
        </w:tc>
        <w:tc>
          <w:tcPr>
            <w:tcW w:w="1925" w:type="dxa"/>
            <w:shd w:val="clear" w:color="auto" w:fill="F2F2F2"/>
            <w:vAlign w:val="center"/>
          </w:tcPr>
          <w:p w14:paraId="0538617F">
            <w:pPr>
              <w:spacing w:after="0" w:line="320" w:lineRule="exact"/>
              <w:jc w:val="center"/>
            </w:pPr>
            <w:r>
              <w:rPr>
                <w:rFonts w:ascii="黑体" w:hAnsi="黑体" w:eastAsia="黑体" w:cs="黑体"/>
                <w:b/>
                <w:sz w:val="24"/>
                <w:szCs w:val="24"/>
              </w:rPr>
              <w:t>数据来源</w:t>
            </w:r>
          </w:p>
        </w:tc>
      </w:tr>
      <w:tr w14:paraId="35893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38" w:type="dxa"/>
            <w:shd w:val="clear" w:color="auto" w:fill="auto"/>
            <w:vAlign w:val="center"/>
          </w:tcPr>
          <w:p w14:paraId="73E00B2E">
            <w:pPr>
              <w:spacing w:after="0" w:line="320" w:lineRule="exact"/>
              <w:jc w:val="center"/>
              <w:rPr>
                <w:sz w:val="21"/>
                <w:szCs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思想政治与学业情况</w:t>
            </w:r>
          </w:p>
        </w:tc>
        <w:tc>
          <w:tcPr>
            <w:tcW w:w="684" w:type="dxa"/>
            <w:shd w:val="clear" w:color="auto" w:fill="auto"/>
            <w:vAlign w:val="center"/>
          </w:tcPr>
          <w:p w14:paraId="1B876899">
            <w:pPr>
              <w:spacing w:after="0" w:line="320" w:lineRule="exact"/>
              <w:jc w:val="center"/>
              <w:rPr>
                <w:sz w:val="21"/>
                <w:szCs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20%</w:t>
            </w:r>
          </w:p>
        </w:tc>
        <w:tc>
          <w:tcPr>
            <w:tcW w:w="2780" w:type="dxa"/>
            <w:shd w:val="clear" w:color="auto" w:fill="auto"/>
            <w:vAlign w:val="center"/>
          </w:tcPr>
          <w:p w14:paraId="26BA93AF">
            <w:pPr>
              <w:spacing w:after="0" w:line="320" w:lineRule="exact"/>
              <w:jc w:val="center"/>
              <w:rPr>
                <w:sz w:val="21"/>
                <w:szCs w:val="22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政治学习、遵纪守法、学术诚信、集体活动参与及课程学习等综合情况</w:t>
            </w:r>
          </w:p>
        </w:tc>
        <w:tc>
          <w:tcPr>
            <w:tcW w:w="1925" w:type="dxa"/>
            <w:shd w:val="clear" w:color="auto" w:fill="auto"/>
            <w:vAlign w:val="center"/>
          </w:tcPr>
          <w:p w14:paraId="18D31546">
            <w:pPr>
              <w:spacing w:after="0" w:line="320" w:lineRule="exact"/>
              <w:jc w:val="center"/>
              <w:rPr>
                <w:sz w:val="21"/>
                <w:szCs w:val="22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学年</w:t>
            </w:r>
            <w:r>
              <w:rPr>
                <w:rFonts w:ascii="宋体" w:hAnsi="宋体" w:eastAsia="宋体" w:cs="宋体"/>
                <w:sz w:val="24"/>
                <w:szCs w:val="24"/>
              </w:rPr>
              <w:t>成果报告及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集体</w:t>
            </w:r>
            <w:r>
              <w:rPr>
                <w:rFonts w:ascii="宋体" w:hAnsi="宋体" w:eastAsia="宋体" w:cs="宋体"/>
                <w:sz w:val="24"/>
                <w:szCs w:val="24"/>
              </w:rPr>
              <w:t>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情况、</w:t>
            </w:r>
            <w:r>
              <w:rPr>
                <w:rFonts w:ascii="宋体" w:hAnsi="宋体" w:eastAsia="宋体" w:cs="宋体"/>
                <w:sz w:val="24"/>
                <w:szCs w:val="24"/>
              </w:rPr>
              <w:t>课程成绩等</w:t>
            </w:r>
          </w:p>
        </w:tc>
      </w:tr>
      <w:tr w14:paraId="3E5D81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38" w:type="dxa"/>
            <w:vAlign w:val="center"/>
          </w:tcPr>
          <w:p w14:paraId="23439683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学术研究</w:t>
            </w:r>
          </w:p>
        </w:tc>
        <w:tc>
          <w:tcPr>
            <w:tcW w:w="684" w:type="dxa"/>
            <w:vAlign w:val="center"/>
          </w:tcPr>
          <w:p w14:paraId="4AB2DECA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40%</w:t>
            </w:r>
          </w:p>
        </w:tc>
        <w:tc>
          <w:tcPr>
            <w:tcW w:w="2780" w:type="dxa"/>
            <w:vAlign w:val="center"/>
          </w:tcPr>
          <w:p w14:paraId="2E374263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论文、课题、调研报告等学术成果</w:t>
            </w:r>
          </w:p>
        </w:tc>
        <w:tc>
          <w:tcPr>
            <w:tcW w:w="1925" w:type="dxa"/>
            <w:vAlign w:val="center"/>
          </w:tcPr>
          <w:p w14:paraId="355A455F">
            <w:pPr>
              <w:spacing w:after="0" w:line="320" w:lineRule="exact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学年</w:t>
            </w:r>
            <w:r>
              <w:rPr>
                <w:rFonts w:ascii="宋体" w:hAnsi="宋体" w:eastAsia="宋体" w:cs="宋体"/>
                <w:sz w:val="24"/>
                <w:szCs w:val="24"/>
              </w:rPr>
              <w:t>成果报告及证明材料</w:t>
            </w:r>
          </w:p>
        </w:tc>
      </w:tr>
      <w:tr w14:paraId="38DA43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1438" w:type="dxa"/>
            <w:vAlign w:val="center"/>
          </w:tcPr>
          <w:p w14:paraId="58F0E720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法治实践成果</w:t>
            </w:r>
          </w:p>
        </w:tc>
        <w:tc>
          <w:tcPr>
            <w:tcW w:w="684" w:type="dxa"/>
            <w:vAlign w:val="center"/>
          </w:tcPr>
          <w:p w14:paraId="5710CFD8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40%</w:t>
            </w:r>
          </w:p>
        </w:tc>
        <w:tc>
          <w:tcPr>
            <w:tcW w:w="2780" w:type="dxa"/>
            <w:vAlign w:val="center"/>
          </w:tcPr>
          <w:p w14:paraId="27922855">
            <w:pPr>
              <w:spacing w:after="0" w:line="320" w:lineRule="exact"/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t>智库报告及批示、省部级以上奖励、法治创新项目等</w:t>
            </w:r>
          </w:p>
        </w:tc>
        <w:tc>
          <w:tcPr>
            <w:tcW w:w="1925" w:type="dxa"/>
            <w:vAlign w:val="center"/>
          </w:tcPr>
          <w:p w14:paraId="75E69573">
            <w:pPr>
              <w:spacing w:after="0" w:line="320" w:lineRule="exact"/>
              <w:jc w:val="center"/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学年</w:t>
            </w:r>
            <w:r>
              <w:rPr>
                <w:rFonts w:ascii="宋体" w:hAnsi="宋体" w:eastAsia="宋体" w:cs="宋体"/>
                <w:sz w:val="24"/>
                <w:szCs w:val="24"/>
              </w:rPr>
              <w:t>成果报告及证明材料</w:t>
            </w:r>
          </w:p>
        </w:tc>
      </w:tr>
    </w:tbl>
    <w:p w14:paraId="11A86889">
      <w:pPr>
        <w:spacing w:before="0" w:after="0" w:line="560" w:lineRule="exact"/>
        <w:ind w:firstLine="640" w:firstLineChars="200"/>
        <w:rPr>
          <w:rFonts w:ascii="仿宋_GB2312" w:hAnsi="仿宋_GB2312" w:eastAsia="仿宋_GB2312" w:cs="仿宋_GB2312"/>
          <w:sz w:val="24"/>
          <w:szCs w:val="24"/>
        </w:rPr>
      </w:pPr>
      <w:r>
        <w:rPr>
          <w:rFonts w:ascii="仿宋_GB2312" w:hAnsi="仿宋_GB2312" w:eastAsia="仿宋_GB2312" w:cs="仿宋_GB2312"/>
          <w:sz w:val="32"/>
          <w:szCs w:val="32"/>
        </w:rPr>
        <w:t>总分＝思想政治与学业情况×20%＋学术研究×40%＋法治实践成果×40%。</w:t>
      </w:r>
    </w:p>
    <w:p w14:paraId="471130E5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第十四条</w:t>
      </w:r>
      <w:r>
        <w:rPr>
          <w:rFonts w:ascii="仿宋_GB2312" w:hAnsi="仿宋_GB2312" w:eastAsia="仿宋_GB2312" w:cs="仿宋_GB2312"/>
          <w:sz w:val="32"/>
          <w:szCs w:val="32"/>
        </w:rPr>
        <w:t>　思想政治与学业情况项综合考察政治学习、遵纪守法、学术诚信、集体活动参与及课程学习等平时表现。学术研究项重点考察论文发表、课题研究、调研报告等学术成果的质量与本人贡献；法治实践成果项重点考察智库研究报告获得省部级以上领导批示、获得省部级以上奖励、参与法治创新项目等情况；各项均由评审委员会依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成果报告、证明材料及学院掌握的情况，经集体评议赋分。</w:t>
      </w:r>
    </w:p>
    <w:p w14:paraId="2196B0CC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第十五条</w:t>
      </w:r>
      <w:r>
        <w:rPr>
          <w:rFonts w:ascii="仿宋_GB2312" w:hAnsi="仿宋_GB2312" w:eastAsia="仿宋_GB2312" w:cs="仿宋_GB2312"/>
          <w:sz w:val="32"/>
          <w:szCs w:val="32"/>
        </w:rPr>
        <w:t>　评审委员会审阅报告后，认为有必要的，可以要求参评学生补充说明有关情况，或者组织参评学生进行答辩。</w:t>
      </w:r>
    </w:p>
    <w:p w14:paraId="524269C7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第十六条</w:t>
      </w:r>
      <w:r>
        <w:rPr>
          <w:rFonts w:ascii="仿宋_GB2312" w:hAnsi="仿宋_GB2312" w:eastAsia="仿宋_GB2312" w:cs="仿宋_GB2312"/>
          <w:sz w:val="32"/>
          <w:szCs w:val="32"/>
        </w:rPr>
        <w:t>　参评资格条件及评价指标、权重根据法律博士培养阶段和课程设置的变化适时完善。确需调整的，经学院审议同意后，在当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评选通知中提前公布。</w:t>
      </w:r>
    </w:p>
    <w:p w14:paraId="527B27FB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四、评审程序</w:t>
      </w:r>
    </w:p>
    <w:p w14:paraId="795108D6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第十七条</w:t>
      </w:r>
      <w:r>
        <w:rPr>
          <w:rFonts w:ascii="仿宋_GB2312" w:hAnsi="仿宋_GB2312" w:eastAsia="仿宋_GB2312" w:cs="仿宋_GB2312"/>
          <w:sz w:val="32"/>
          <w:szCs w:val="32"/>
        </w:rPr>
        <w:t>　评选工作每学年开展一次，一般于秋冬学期进行，按下列程序进行：</w:t>
      </w:r>
    </w:p>
    <w:p w14:paraId="05595371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（一）学院发布当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评选通知，公布奖项设置、评价指标及权重、报告要求、时间安排等事项；</w:t>
      </w:r>
    </w:p>
    <w:p w14:paraId="13940A04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（二）参评学生提交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成果报告及证明材料；</w:t>
      </w:r>
    </w:p>
    <w:p w14:paraId="53911524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（三）评审委员会审阅报告，核定参评资格；</w:t>
      </w:r>
    </w:p>
    <w:p w14:paraId="46EEFF18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（四）评审委员会对三个评价项目分别赋分，按权重合成总分并排序；</w:t>
      </w:r>
    </w:p>
    <w:p w14:paraId="55A68B30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（五）按总分从高到低划定各等级获奖建议名单，在学院范围内公示5个工作日；</w:t>
      </w:r>
    </w:p>
    <w:p w14:paraId="3BD9BE78">
      <w:pPr>
        <w:spacing w:before="0" w:after="0" w:line="560" w:lineRule="exact"/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（六）公示期满无异议或者异议不成立的，报学院研究生评奖评优工作领导小组审议通过后，按学校有关规定报党委研究生工作部和研究生院备案，由学院发放奖学金。</w:t>
      </w:r>
    </w:p>
    <w:p w14:paraId="50A09A07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五、异议与监督</w:t>
      </w:r>
    </w:p>
    <w:p w14:paraId="1957E1FF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第十八条</w:t>
      </w:r>
      <w:r>
        <w:rPr>
          <w:rFonts w:ascii="仿宋_GB2312" w:hAnsi="仿宋_GB2312" w:eastAsia="仿宋_GB2312" w:cs="仿宋_GB2312"/>
          <w:sz w:val="32"/>
          <w:szCs w:val="32"/>
        </w:rPr>
        <w:t>　对公示名单有异议的，可以在公示期内以实名书面形式向评审委员会提出。评审委员会应当自收到异议之日起5个工作日内复核并作出处理决定，并将处理结果告知异议人。</w:t>
      </w:r>
    </w:p>
    <w:p w14:paraId="16AC842C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第十九条</w:t>
      </w:r>
      <w:r>
        <w:rPr>
          <w:rFonts w:ascii="仿宋_GB2312" w:hAnsi="仿宋_GB2312" w:eastAsia="仿宋_GB2312" w:cs="仿宋_GB2312"/>
          <w:sz w:val="32"/>
          <w:szCs w:val="32"/>
        </w:rPr>
        <w:t>　参评学生应当对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学年</w:t>
      </w:r>
      <w:r>
        <w:rPr>
          <w:rFonts w:ascii="仿宋_GB2312" w:hAnsi="仿宋_GB2312" w:eastAsia="仿宋_GB2312" w:cs="仿宋_GB2312"/>
          <w:sz w:val="32"/>
          <w:szCs w:val="32"/>
        </w:rPr>
        <w:t>成果报告及所附材料的真实性负责。提交虚假材料的，取消参评及获奖资格；已获奖励的，撤销相应荣誉，追回已发奖学金，停发待发奖学金，并按学校有关规定处理。</w:t>
      </w:r>
    </w:p>
    <w:p w14:paraId="67D23EE7">
      <w:pPr>
        <w:spacing w:before="0" w:after="0" w:line="560" w:lineRule="exact"/>
        <w:ind w:firstLine="643" w:firstLineChars="200"/>
      </w:pPr>
      <w:r>
        <w:rPr>
          <w:rFonts w:ascii="仿宋_GB2312" w:hAnsi="仿宋_GB2312" w:eastAsia="仿宋_GB2312" w:cs="仿宋_GB2312"/>
          <w:b/>
          <w:bCs/>
          <w:sz w:val="32"/>
          <w:szCs w:val="32"/>
        </w:rPr>
        <w:t>第二十条</w:t>
      </w:r>
      <w:r>
        <w:rPr>
          <w:rFonts w:ascii="仿宋_GB2312" w:hAnsi="仿宋_GB2312" w:eastAsia="仿宋_GB2312" w:cs="仿宋_GB2312"/>
          <w:sz w:val="32"/>
          <w:szCs w:val="32"/>
        </w:rPr>
        <w:t>　评审工作全程留痕，评审材料由学院存档备查。</w:t>
      </w:r>
    </w:p>
    <w:p w14:paraId="11F41B31">
      <w:pPr>
        <w:spacing w:before="120" w:after="0" w:line="560" w:lineRule="exact"/>
        <w:ind w:firstLine="640" w:firstLineChars="200"/>
      </w:pPr>
      <w:r>
        <w:rPr>
          <w:rFonts w:ascii="黑体" w:hAnsi="黑体" w:eastAsia="黑体" w:cs="黑体"/>
          <w:sz w:val="32"/>
          <w:szCs w:val="32"/>
        </w:rPr>
        <w:t>六、附则</w:t>
      </w:r>
    </w:p>
    <w:p w14:paraId="3DBFABAF">
      <w:pPr>
        <w:spacing w:before="0" w:after="0" w:line="560" w:lineRule="exact"/>
        <w:ind w:firstLine="643" w:firstLineChars="200"/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第二十一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条</w:t>
      </w:r>
      <w:r>
        <w:rPr>
          <w:rFonts w:ascii="仿宋_GB2312" w:hAnsi="仿宋_GB2312" w:eastAsia="仿宋_GB2312" w:cs="仿宋_GB2312"/>
          <w:sz w:val="32"/>
          <w:szCs w:val="32"/>
        </w:rPr>
        <w:t>　本办法经学院党政联席会议审议通过，在学院范围内公布，并报党委研究生工作部和研究生院备案（备案内容包括奖学金名称、设奖来源、奖学金等级及金额、评审办法、获奖研究生名单等）。本办法自发布之日起试行，由浙江大学光华法学院负责解释。</w:t>
      </w:r>
    </w:p>
    <w:p w14:paraId="55A290F2">
      <w:pPr>
        <w:spacing w:before="0" w:after="0" w:line="560" w:lineRule="exact"/>
      </w:pPr>
    </w:p>
    <w:p w14:paraId="566B75BD">
      <w:pPr>
        <w:spacing w:before="0" w:after="0" w:line="560" w:lineRule="exact"/>
        <w:jc w:val="right"/>
      </w:pPr>
      <w:r>
        <w:rPr>
          <w:rFonts w:ascii="仿宋_GB2312" w:hAnsi="仿宋_GB2312" w:eastAsia="仿宋_GB2312" w:cs="仿宋_GB2312"/>
          <w:sz w:val="32"/>
          <w:szCs w:val="32"/>
        </w:rPr>
        <w:t>浙江大学光华法学院</w:t>
      </w:r>
    </w:p>
    <w:p w14:paraId="0825FFD7">
      <w:pPr>
        <w:spacing w:before="0" w:after="0" w:line="560" w:lineRule="exact"/>
        <w:jc w:val="right"/>
      </w:pPr>
      <w:r>
        <w:rPr>
          <w:rFonts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日　　</w:t>
      </w:r>
    </w:p>
    <w:sectPr>
      <w:pgSz w:w="11906" w:h="16838"/>
      <w:pgMar w:top="2106" w:right="1474" w:bottom="1985" w:left="1581" w:header="851" w:footer="99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A31E03E-4AAD-4111-985F-01C1A7FB5B1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3C346BF-8B34-44E5-92DE-D9977750C081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30A0100B-1B1A-4116-ABB1-B80CC623CC7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IwMTg0ZTZhMTg3MWUwZGRlYWJkNDQ3NTg0OTFkMzMifQ=="/>
  </w:docVars>
  <w:rsids>
    <w:rsidRoot w:val="00000000"/>
    <w:rsid w:val="1443233E"/>
    <w:rsid w:val="1B3E16BD"/>
    <w:rsid w:val="24E15BB1"/>
    <w:rsid w:val="3C7C2751"/>
    <w:rsid w:val="5DAAAA90"/>
    <w:rsid w:val="5DFF1BF1"/>
    <w:rsid w:val="61043A37"/>
    <w:rsid w:val="6BDF4E26"/>
    <w:rsid w:val="AFE72604"/>
    <w:rsid w:val="B6BBA7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2321</Words>
  <Characters>2345</Characters>
  <TotalTime>35</TotalTime>
  <ScaleCrop>false</ScaleCrop>
  <LinksUpToDate>false</LinksUpToDate>
  <CharactersWithSpaces>2370</CharactersWithSpaces>
  <Application>WPS Office_12.1.0.18276_F1E327BC-269C-435d-A152-05C5408002CA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2026-09-01T08:18:00Z</dcterms:created>
  <dc:creator>files</dc:creator>
  <cp:lastModifiedBy>王司秋</cp:lastModifiedBy>
  <dcterms:modified xsi:type="dcterms:W3CDTF">2026-09-03T04:00:56Z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18A34E796331452CBAFEBC37A543266F_13</vt:lpwstr>
  </property>
  <property fmtid="{D5CDD505-2E9C-101B-9397-08002B2CF9AE}" pid="4" name="KSOTemplateDocerSaveRecord">
    <vt:lpwstr>eyJoZGlkIjoiNzNkOGQ5YjNhZmQxNGI5MjQ0NGI0YTE3YmZiNjE3MWMiLCJ1c2VySWQiOiIxNzgwMjg2MTczIn0=</vt:lpwstr>
  </property>
</Properties>
</file>