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7F" w:rsidRDefault="00F5597F" w:rsidP="00F5597F">
      <w:pPr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 </w:t>
      </w:r>
      <w:r>
        <w:rPr>
          <w:rFonts w:hint="eastAsia"/>
          <w:b/>
          <w:sz w:val="32"/>
          <w:szCs w:val="32"/>
        </w:rPr>
        <w:t>光华法学院</w:t>
      </w:r>
      <w:r>
        <w:rPr>
          <w:rFonts w:hint="eastAsia"/>
          <w:b/>
          <w:sz w:val="32"/>
          <w:szCs w:val="32"/>
        </w:rPr>
        <w:t>201</w:t>
      </w:r>
      <w:r w:rsidR="00BC6E5F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级本科</w:t>
      </w:r>
      <w:r w:rsidRPr="003F4281">
        <w:rPr>
          <w:rFonts w:hint="eastAsia"/>
          <w:b/>
          <w:sz w:val="32"/>
          <w:szCs w:val="32"/>
        </w:rPr>
        <w:t>毕业论文实施进度表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00"/>
        <w:gridCol w:w="2160"/>
        <w:gridCol w:w="3060"/>
      </w:tblGrid>
      <w:tr w:rsidR="00F5597F" w:rsidRPr="00722F7D" w:rsidTr="00404FA2">
        <w:tc>
          <w:tcPr>
            <w:tcW w:w="828" w:type="dxa"/>
          </w:tcPr>
          <w:p w:rsidR="00F5597F" w:rsidRPr="00722F7D" w:rsidRDefault="00F5597F" w:rsidP="00404FA2">
            <w:pPr>
              <w:rPr>
                <w:rFonts w:hint="eastAsia"/>
                <w:b/>
                <w:sz w:val="24"/>
              </w:rPr>
            </w:pPr>
            <w:r w:rsidRPr="00722F7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00" w:type="dxa"/>
          </w:tcPr>
          <w:p w:rsidR="00F5597F" w:rsidRPr="00722F7D" w:rsidRDefault="00F5597F" w:rsidP="00404FA2">
            <w:pPr>
              <w:ind w:firstLineChars="295" w:firstLine="711"/>
              <w:rPr>
                <w:rFonts w:hint="eastAsia"/>
                <w:b/>
                <w:sz w:val="24"/>
              </w:rPr>
            </w:pPr>
            <w:r w:rsidRPr="00722F7D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2160" w:type="dxa"/>
          </w:tcPr>
          <w:p w:rsidR="00F5597F" w:rsidRPr="00722F7D" w:rsidRDefault="00F5597F" w:rsidP="00404FA2">
            <w:pPr>
              <w:ind w:firstLineChars="147" w:firstLine="354"/>
              <w:rPr>
                <w:rFonts w:hint="eastAsia"/>
                <w:b/>
                <w:sz w:val="24"/>
              </w:rPr>
            </w:pPr>
            <w:r w:rsidRPr="00722F7D"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3060" w:type="dxa"/>
          </w:tcPr>
          <w:p w:rsidR="00F5597F" w:rsidRPr="00722F7D" w:rsidRDefault="00F5597F" w:rsidP="00404FA2">
            <w:pPr>
              <w:ind w:firstLineChars="294" w:firstLine="708"/>
              <w:rPr>
                <w:rFonts w:hint="eastAsia"/>
                <w:b/>
                <w:sz w:val="24"/>
              </w:rPr>
            </w:pPr>
            <w:r w:rsidRPr="00722F7D">
              <w:rPr>
                <w:rFonts w:hint="eastAsia"/>
                <w:b/>
                <w:sz w:val="24"/>
              </w:rPr>
              <w:t>时间</w:t>
            </w:r>
          </w:p>
        </w:tc>
      </w:tr>
      <w:tr w:rsidR="00F5597F" w:rsidRPr="00722F7D" w:rsidTr="00404FA2"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教师申报论文选题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教师在现代教学管理系统中申报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年</w:t>
            </w:r>
            <w:r w:rsidRPr="00722F7D">
              <w:rPr>
                <w:rFonts w:hint="eastAsia"/>
                <w:szCs w:val="21"/>
              </w:rPr>
              <w:t>12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15</w:t>
            </w:r>
            <w:r w:rsidRPr="00722F7D">
              <w:rPr>
                <w:rFonts w:hint="eastAsia"/>
                <w:szCs w:val="21"/>
              </w:rPr>
              <w:t>日—</w:t>
            </w:r>
            <w:r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 w:rsidRPr="00722F7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21</w:t>
            </w:r>
            <w:r w:rsidRPr="00722F7D">
              <w:rPr>
                <w:rFonts w:hint="eastAsia"/>
                <w:szCs w:val="21"/>
              </w:rPr>
              <w:t>日</w:t>
            </w:r>
          </w:p>
        </w:tc>
      </w:tr>
      <w:tr w:rsidR="00F5597F" w:rsidRPr="00722F7D" w:rsidTr="00404FA2">
        <w:trPr>
          <w:trHeight w:val="902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学生选题与确定指导教师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学生在现代教学管理系统中选题与确定指导教师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22</w:t>
            </w:r>
            <w:r w:rsidRPr="00722F7D">
              <w:rPr>
                <w:rFonts w:hint="eastAsia"/>
                <w:szCs w:val="21"/>
              </w:rPr>
              <w:t>日—</w:t>
            </w:r>
            <w:r w:rsidRPr="00722F7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28</w:t>
            </w:r>
            <w:r w:rsidRPr="00722F7D">
              <w:rPr>
                <w:rFonts w:hint="eastAsia"/>
                <w:szCs w:val="21"/>
              </w:rPr>
              <w:t>日</w:t>
            </w:r>
          </w:p>
        </w:tc>
      </w:tr>
      <w:tr w:rsidR="00F5597F" w:rsidRPr="00722F7D" w:rsidTr="00404FA2">
        <w:trPr>
          <w:trHeight w:val="876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公布论文的选题和指导</w:t>
            </w:r>
          </w:p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教师名单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每位教师指导的人数不超过</w:t>
            </w:r>
            <w:r w:rsidRPr="00722F7D">
              <w:rPr>
                <w:rFonts w:hint="eastAsia"/>
                <w:szCs w:val="21"/>
              </w:rPr>
              <w:t>8</w:t>
            </w:r>
            <w:r w:rsidRPr="00722F7D">
              <w:rPr>
                <w:rFonts w:hint="eastAsia"/>
                <w:szCs w:val="21"/>
              </w:rPr>
              <w:t>人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年</w:t>
            </w:r>
            <w:r w:rsidRPr="00722F7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722F7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BC6E5F">
              <w:rPr>
                <w:rFonts w:hint="eastAsia"/>
                <w:szCs w:val="21"/>
              </w:rPr>
              <w:t>8</w:t>
            </w:r>
            <w:r w:rsidRPr="00722F7D">
              <w:rPr>
                <w:rFonts w:hint="eastAsia"/>
                <w:szCs w:val="21"/>
              </w:rPr>
              <w:t>日—</w:t>
            </w:r>
            <w:r w:rsidR="00BC6E5F">
              <w:rPr>
                <w:rFonts w:hint="eastAsia"/>
                <w:szCs w:val="21"/>
              </w:rPr>
              <w:t>2015</w:t>
            </w:r>
            <w:r w:rsidR="00BC6E5F">
              <w:rPr>
                <w:rFonts w:hint="eastAsia"/>
                <w:szCs w:val="21"/>
              </w:rPr>
              <w:t>年</w:t>
            </w:r>
            <w:r w:rsidR="00BC6E5F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日</w:t>
            </w:r>
          </w:p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597F" w:rsidRPr="00722F7D" w:rsidTr="00404FA2">
        <w:trPr>
          <w:trHeight w:val="1201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学生补选论文题目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第一轮没有指导老师的</w:t>
            </w:r>
            <w:r w:rsidRPr="00722F7D">
              <w:rPr>
                <w:rFonts w:hint="eastAsia"/>
                <w:szCs w:val="21"/>
              </w:rPr>
              <w:t>学生在现代教学管理系统中选题与确定指导教师</w:t>
            </w:r>
          </w:p>
        </w:tc>
        <w:tc>
          <w:tcPr>
            <w:tcW w:w="3060" w:type="dxa"/>
            <w:vAlign w:val="center"/>
          </w:tcPr>
          <w:p w:rsidR="00F5597F" w:rsidRPr="003F5EE9" w:rsidRDefault="00F5597F" w:rsidP="00BC6E5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BC6E5F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  <w:r w:rsidRPr="00722F7D">
              <w:rPr>
                <w:rFonts w:hint="eastAsia"/>
                <w:szCs w:val="21"/>
              </w:rPr>
              <w:t>—</w:t>
            </w:r>
            <w:r w:rsidR="00BC6E5F">
              <w:rPr>
                <w:rFonts w:hint="eastAsia"/>
                <w:szCs w:val="21"/>
              </w:rPr>
              <w:t>2015</w:t>
            </w:r>
            <w:r w:rsidR="00BC6E5F">
              <w:rPr>
                <w:rFonts w:hint="eastAsia"/>
                <w:szCs w:val="21"/>
              </w:rPr>
              <w:t>年</w:t>
            </w:r>
            <w:r w:rsidRPr="00722F7D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日</w:t>
            </w:r>
          </w:p>
        </w:tc>
      </w:tr>
      <w:tr w:rsidR="00F5597F" w:rsidRPr="00722F7D" w:rsidTr="00404FA2"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撰写开题报告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内容包括文献综述、翻译资料、开题报告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BC6E5F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年</w:t>
            </w:r>
            <w:r w:rsidR="00BC6E5F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日—</w:t>
            </w:r>
            <w:r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 w:rsidR="00BC6E5F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24</w:t>
            </w:r>
            <w:r w:rsidRPr="00722F7D">
              <w:rPr>
                <w:rFonts w:hint="eastAsia"/>
                <w:szCs w:val="21"/>
              </w:rPr>
              <w:t>日</w:t>
            </w:r>
          </w:p>
        </w:tc>
      </w:tr>
      <w:tr w:rsidR="00F5597F" w:rsidRPr="00722F7D" w:rsidTr="00404FA2">
        <w:trPr>
          <w:trHeight w:val="1068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开题报告答辩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由各答辩组长具体</w:t>
            </w:r>
          </w:p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组织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BC6E5F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BC6E5F"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日</w:t>
            </w:r>
          </w:p>
        </w:tc>
      </w:tr>
      <w:tr w:rsidR="00F5597F" w:rsidRPr="00722F7D" w:rsidTr="00404FA2">
        <w:trPr>
          <w:trHeight w:val="1697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论文写作、修改、定稿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应及时联系指导老师、按照指导老师的意见完成论文的初稿、修改和定稿。毕业论文应符合院的格式要求。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年</w:t>
            </w:r>
            <w:r w:rsidR="00BC6E5F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26</w:t>
            </w:r>
            <w:r w:rsidRPr="00722F7D">
              <w:rPr>
                <w:rFonts w:hint="eastAsia"/>
                <w:szCs w:val="21"/>
              </w:rPr>
              <w:t>日—</w:t>
            </w:r>
            <w:r w:rsidR="00BC6E5F">
              <w:rPr>
                <w:rFonts w:hint="eastAsia"/>
                <w:szCs w:val="21"/>
              </w:rPr>
              <w:t>4</w:t>
            </w:r>
            <w:r w:rsidRPr="00722F7D">
              <w:rPr>
                <w:rFonts w:hint="eastAsia"/>
                <w:szCs w:val="21"/>
              </w:rPr>
              <w:t>月</w:t>
            </w:r>
            <w:r w:rsidR="00BC6E5F">
              <w:rPr>
                <w:rFonts w:hint="eastAsia"/>
                <w:szCs w:val="21"/>
              </w:rPr>
              <w:t>30</w:t>
            </w:r>
            <w:r w:rsidRPr="00722F7D">
              <w:rPr>
                <w:rFonts w:hint="eastAsia"/>
                <w:szCs w:val="21"/>
              </w:rPr>
              <w:t>日</w:t>
            </w:r>
          </w:p>
          <w:p w:rsidR="00F5597F" w:rsidRPr="00722F7D" w:rsidRDefault="00F5597F" w:rsidP="00404FA2">
            <w:pPr>
              <w:ind w:firstLineChars="250" w:firstLine="525"/>
              <w:rPr>
                <w:rFonts w:hint="eastAsia"/>
                <w:szCs w:val="21"/>
              </w:rPr>
            </w:pPr>
          </w:p>
        </w:tc>
      </w:tr>
      <w:tr w:rsidR="00F5597F" w:rsidRPr="00722F7D" w:rsidTr="00404FA2">
        <w:trPr>
          <w:trHeight w:val="1247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论文评阅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由各学科点指定相关</w:t>
            </w:r>
          </w:p>
          <w:p w:rsidR="00F5597F" w:rsidRPr="00722F7D" w:rsidRDefault="00F5597F" w:rsidP="00404FA2">
            <w:pPr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教师对学生论文评阅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 w:rsidR="00BC6E5F"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日—</w:t>
            </w:r>
            <w:r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BC6E5F">
              <w:rPr>
                <w:rFonts w:hint="eastAsia"/>
                <w:szCs w:val="21"/>
              </w:rPr>
              <w:t>1</w:t>
            </w:r>
            <w:r w:rsidRPr="00722F7D">
              <w:rPr>
                <w:rFonts w:hint="eastAsia"/>
                <w:szCs w:val="21"/>
              </w:rPr>
              <w:t>日</w:t>
            </w:r>
          </w:p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597F" w:rsidRPr="00722F7D" w:rsidTr="00404FA2">
        <w:trPr>
          <w:trHeight w:val="1621"/>
        </w:trPr>
        <w:tc>
          <w:tcPr>
            <w:tcW w:w="828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论文答辩</w:t>
            </w:r>
          </w:p>
        </w:tc>
        <w:tc>
          <w:tcPr>
            <w:tcW w:w="21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由各</w:t>
            </w:r>
            <w:proofErr w:type="gramStart"/>
            <w:r w:rsidRPr="00722F7D">
              <w:rPr>
                <w:rFonts w:hint="eastAsia"/>
                <w:szCs w:val="21"/>
              </w:rPr>
              <w:t>答辩组</w:t>
            </w:r>
            <w:proofErr w:type="gramEnd"/>
            <w:r w:rsidRPr="00722F7D">
              <w:rPr>
                <w:rFonts w:hint="eastAsia"/>
                <w:szCs w:val="21"/>
              </w:rPr>
              <w:t>组长负责</w:t>
            </w:r>
          </w:p>
        </w:tc>
        <w:tc>
          <w:tcPr>
            <w:tcW w:w="3060" w:type="dxa"/>
            <w:vAlign w:val="center"/>
          </w:tcPr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  <w:r w:rsidRPr="00722F7D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722F7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 w:rsidRPr="00722F7D">
              <w:rPr>
                <w:rFonts w:hint="eastAsia"/>
                <w:szCs w:val="21"/>
              </w:rPr>
              <w:t>日</w:t>
            </w:r>
          </w:p>
          <w:p w:rsidR="00F5597F" w:rsidRPr="00722F7D" w:rsidRDefault="00F5597F" w:rsidP="00404FA2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F5597F" w:rsidRPr="003F4281" w:rsidRDefault="00F5597F" w:rsidP="00F5597F">
      <w:pPr>
        <w:rPr>
          <w:rFonts w:hint="eastAsia"/>
          <w:b/>
          <w:sz w:val="32"/>
          <w:szCs w:val="32"/>
        </w:rPr>
      </w:pPr>
    </w:p>
    <w:p w:rsidR="00B70AD1" w:rsidRDefault="00D542FE">
      <w:pPr>
        <w:rPr>
          <w:rFonts w:hint="eastAsia"/>
        </w:rPr>
      </w:pPr>
    </w:p>
    <w:sectPr w:rsidR="00B7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FE" w:rsidRDefault="00D542FE" w:rsidP="00F5597F">
      <w:r>
        <w:separator/>
      </w:r>
    </w:p>
  </w:endnote>
  <w:endnote w:type="continuationSeparator" w:id="0">
    <w:p w:rsidR="00D542FE" w:rsidRDefault="00D542FE" w:rsidP="00F55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FE" w:rsidRDefault="00D542FE" w:rsidP="00F5597F">
      <w:r>
        <w:separator/>
      </w:r>
    </w:p>
  </w:footnote>
  <w:footnote w:type="continuationSeparator" w:id="0">
    <w:p w:rsidR="00D542FE" w:rsidRDefault="00D542FE" w:rsidP="00F55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97F"/>
    <w:rsid w:val="009A2C1A"/>
    <w:rsid w:val="00BC6E5F"/>
    <w:rsid w:val="00D542FE"/>
    <w:rsid w:val="00E23C51"/>
    <w:rsid w:val="00F5597F"/>
    <w:rsid w:val="00F9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9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9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2014-12-15T01:15:00Z</dcterms:created>
  <dcterms:modified xsi:type="dcterms:W3CDTF">2014-12-15T01:22:00Z</dcterms:modified>
</cp:coreProperties>
</file>