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C583" w14:textId="77777777" w:rsidR="00DD3468" w:rsidRDefault="00000000">
      <w:pPr>
        <w:jc w:val="center"/>
        <w:rPr>
          <w:rFonts w:ascii="方正大标宋简体" w:eastAsia="方正大标宋简体" w:hAnsi="方正大标宋简体" w:cs="方正大标宋简体"/>
          <w:b/>
          <w:bCs/>
          <w:color w:val="0F1115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0F1115"/>
          <w:sz w:val="44"/>
          <w:szCs w:val="44"/>
          <w:shd w:val="clear" w:color="auto" w:fill="FFFFFF"/>
        </w:rPr>
        <w:t>浙江大学光华法学院“明法筑梦”助学金</w:t>
      </w:r>
    </w:p>
    <w:p w14:paraId="4DFCDD7D" w14:textId="77777777" w:rsidR="00DD3468" w:rsidRDefault="00000000">
      <w:pPr>
        <w:jc w:val="center"/>
        <w:rPr>
          <w:rFonts w:ascii="方正大标宋简体" w:eastAsia="方正大标宋简体" w:hAnsi="方正大标宋简体" w:cs="方正大标宋简体"/>
          <w:b/>
          <w:bCs/>
          <w:color w:val="0F1115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0F1115"/>
          <w:sz w:val="44"/>
          <w:szCs w:val="44"/>
          <w:shd w:val="clear" w:color="auto" w:fill="FFFFFF"/>
        </w:rPr>
        <w:t>评选办法（试行）</w:t>
      </w:r>
    </w:p>
    <w:p w14:paraId="5DAB794D" w14:textId="77777777" w:rsidR="00DD3468" w:rsidRDefault="00DD3468">
      <w:pPr>
        <w:rPr>
          <w:rFonts w:ascii="方正仿宋_GB2312" w:eastAsia="方正仿宋_GB2312" w:hAnsi="方正仿宋_GB2312" w:cs="方正仿宋_GB2312"/>
          <w:color w:val="0F1115"/>
          <w:sz w:val="30"/>
          <w:szCs w:val="30"/>
          <w:shd w:val="clear" w:color="auto" w:fill="FFFFFF"/>
        </w:rPr>
      </w:pPr>
    </w:p>
    <w:p w14:paraId="1C9804DA" w14:textId="0CB95026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为进一步落实学生集体关怀工作，帮助家庭经济困难学生顺利完成学业，培养一批德法兼修的高素质法治人才。根据《浙江大学本科学生资助工作管理办法》（浙大发本〔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2024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〕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11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号）及相关资助，设立浙江大学光华法学院</w:t>
      </w:r>
      <w:r w:rsidR="0016497D"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“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明法筑梦</w:t>
      </w:r>
      <w:r w:rsidR="0016497D"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”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助学金。为规范评选与管理，特制定本办法。</w:t>
      </w:r>
    </w:p>
    <w:p w14:paraId="2DA2E597" w14:textId="77777777" w:rsidR="00DD3468" w:rsidRDefault="00DD3468">
      <w:pPr>
        <w:rPr>
          <w:rFonts w:ascii="Times New Roman" w:eastAsia="方正仿宋_GB2312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</w:p>
    <w:p w14:paraId="6BDA76FD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一、资助来源与名额</w:t>
      </w:r>
    </w:p>
    <w:p w14:paraId="7422154F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（一）资助来源</w:t>
      </w:r>
    </w:p>
    <w:p w14:paraId="4E21C81D" w14:textId="70336F3E" w:rsidR="00DD3468" w:rsidRDefault="0016497D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 w:rsidRPr="0016497D">
        <w:rPr>
          <w:rFonts w:ascii="宋体" w:hAnsi="宋体" w:hint="eastAsia"/>
          <w:color w:val="0F1115"/>
          <w:sz w:val="30"/>
          <w:szCs w:val="30"/>
          <w:shd w:val="clear" w:color="auto" w:fill="FFFFFF"/>
        </w:rPr>
        <w:t>社会捐助</w:t>
      </w:r>
      <w:r w:rsidR="00000000"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。</w:t>
      </w:r>
    </w:p>
    <w:p w14:paraId="553E553A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（二）资助名额</w:t>
      </w:r>
    </w:p>
    <w:p w14:paraId="4A625C93" w14:textId="1195F329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资助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2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名全日制在籍本科生。</w:t>
      </w:r>
    </w:p>
    <w:p w14:paraId="3FBFC3A4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（三）资助额度</w:t>
      </w:r>
    </w:p>
    <w:p w14:paraId="10F3BACE" w14:textId="2B8A1556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资助受助学生在读期间</w:t>
      </w:r>
      <w:r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的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学杂费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，资助标准为每学年不超过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8000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元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/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人</w:t>
      </w:r>
      <w:r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，根据助学金到款情况结合受助学生表现决定是否连续资助。</w:t>
      </w:r>
    </w:p>
    <w:p w14:paraId="73810BF7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二、资助对象与申请条件</w:t>
      </w:r>
    </w:p>
    <w:p w14:paraId="028A5151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（一）资助对象</w:t>
      </w:r>
    </w:p>
    <w:p w14:paraId="0DE77FCC" w14:textId="0F24C983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光华法学院全日制大一本科生，重点面向家庭经济特别困难、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lastRenderedPageBreak/>
        <w:t>无力支付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学杂费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的学生。</w:t>
      </w:r>
    </w:p>
    <w:p w14:paraId="1731FBE5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（二）申请条件</w:t>
      </w:r>
    </w:p>
    <w:p w14:paraId="5B5EB420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1.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经浙江大学认定的学生资助对象，且家庭经济特别困难；</w:t>
      </w:r>
    </w:p>
    <w:p w14:paraId="02E04DDA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2.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热爱祖国，拥护中国共产党的领导，遵守国家法律法规和学校规章制度；</w:t>
      </w:r>
    </w:p>
    <w:p w14:paraId="69CF5930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3.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诚实守信，道德品质优良，学习态度端正；</w:t>
      </w:r>
    </w:p>
    <w:p w14:paraId="6CD00F65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原则上满足以下情况之一者优先考虑：</w:t>
      </w:r>
    </w:p>
    <w:p w14:paraId="3CB55538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1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）孤残学生、残疾学生；</w:t>
      </w:r>
    </w:p>
    <w:p w14:paraId="6F1ECC18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2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）优抚家庭子女（含烈士子女）；</w:t>
      </w:r>
    </w:p>
    <w:p w14:paraId="073C1021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3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）家庭经济特别困难的少数民族学生；</w:t>
      </w:r>
    </w:p>
    <w:p w14:paraId="103A480A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4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）来自国家乡村振兴重点帮扶县或西部地区脱贫家庭的学生；</w:t>
      </w:r>
    </w:p>
    <w:p w14:paraId="562169B1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5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）因突发重大疾病、自然灾害等导致家庭陷入极端困难的学生。</w:t>
      </w:r>
    </w:p>
    <w:p w14:paraId="4B41CECE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4.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有下列情况之一者，不得申请或取消受助资格：</w:t>
      </w:r>
    </w:p>
    <w:p w14:paraId="0C3F8D28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1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）违反校纪校规受到纪律处分；</w:t>
      </w:r>
    </w:p>
    <w:p w14:paraId="569D45EF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2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）休学或退学试读期间；</w:t>
      </w:r>
    </w:p>
    <w:p w14:paraId="13AE1C91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3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）学习态度不端正，学习不努力，造成学习成绩低劣；</w:t>
      </w:r>
    </w:p>
    <w:p w14:paraId="3663BB27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4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）生活挥霍浪费，将助学金用于非学业消费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。</w:t>
      </w:r>
    </w:p>
    <w:p w14:paraId="30D38CD2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在申请材料中弄虚作假。一经查实，将追回已发放助学金，并依据学校规定给予相应纪律处分。</w:t>
      </w:r>
    </w:p>
    <w:p w14:paraId="115CD8E0" w14:textId="77777777" w:rsidR="00DD3468" w:rsidRDefault="00DD3468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</w:p>
    <w:p w14:paraId="6CFE399A" w14:textId="77777777" w:rsidR="00DD3468" w:rsidRDefault="00DD3468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</w:p>
    <w:p w14:paraId="588B7339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三、申请与评选流程</w:t>
      </w:r>
    </w:p>
    <w:p w14:paraId="7FD82B32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（一）发布通知</w:t>
      </w:r>
    </w:p>
    <w:p w14:paraId="076778D9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学院学生工作办公室发布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“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明法筑梦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”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助学金评选通知，明确申请截止时间及材料要求。</w:t>
      </w:r>
    </w:p>
    <w:p w14:paraId="7C790BE9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（二）学生申请</w:t>
      </w:r>
    </w:p>
    <w:p w14:paraId="5BD92DF9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符合条件的学生填写《浙江大学光华法学院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“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明法筑梦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”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助学金申请表》，并附家庭经济困难佐证材料、入学以来成绩单等。</w:t>
      </w:r>
    </w:p>
    <w:p w14:paraId="6BA8131B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（三）学院评审</w:t>
      </w:r>
    </w:p>
    <w:p w14:paraId="0B26F460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学院成立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“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明法筑梦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”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助学金评审小组（由分管学生工作的党委副书记、辅导员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、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教师代表、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班主任代表、教育教学中心老师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等组成），对申请材料进行复核，确定拟资助名单。</w:t>
      </w:r>
    </w:p>
    <w:p w14:paraId="1B49355D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（四）公示</w:t>
      </w:r>
    </w:p>
    <w:p w14:paraId="3875411F" w14:textId="11536B61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拟资助</w:t>
      </w:r>
      <w:r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对象将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在学院范围内公示不少于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3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个工作日。公示无异议后，正式确定受助学生。</w:t>
      </w:r>
    </w:p>
    <w:p w14:paraId="2148E7EB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四、受助学生义务与管理</w:t>
      </w:r>
    </w:p>
    <w:p w14:paraId="60E79D3A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受助学生应勤奋学习，积极参加学院组织的法治宣传、志愿服务等活动，每学年完成不少于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20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小时的公益服务。</w:t>
      </w:r>
    </w:p>
    <w:p w14:paraId="182CF4A7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每学年末，受助学生需提交一份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“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明法筑梦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·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感恩汇报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”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（内容包括学年学习情况、思想进步情况、公益活动参与情况及受助感想），由学院存档。</w:t>
      </w:r>
    </w:p>
    <w:p w14:paraId="0FCA7111" w14:textId="484B11F9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助学金实行年度动态管理。学院每学年对受助学生进行一次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lastRenderedPageBreak/>
        <w:t>复核，若发现不再符合条件或有本办法第二条第四款所列情形，将终止资助。</w:t>
      </w:r>
    </w:p>
    <w:p w14:paraId="50AB2BE4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受助学生如因家庭经济状况好转主动提出放弃资助，应提前一个月书面告知学院，以便将名额转助其他需要的学生。</w:t>
      </w:r>
    </w:p>
    <w:p w14:paraId="00D7BC80" w14:textId="77777777" w:rsidR="00DD3468" w:rsidRDefault="00000000">
      <w:pPr>
        <w:ind w:firstLineChars="200" w:firstLine="602"/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F1115"/>
          <w:sz w:val="30"/>
          <w:szCs w:val="30"/>
          <w:shd w:val="clear" w:color="auto" w:fill="FFFFFF"/>
        </w:rPr>
        <w:t>五、附则</w:t>
      </w:r>
    </w:p>
    <w:p w14:paraId="32315476" w14:textId="77777777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本办法自发布之日起施行，由浙江大学光华法学院学生工作办公室负责解释。</w:t>
      </w:r>
    </w:p>
    <w:p w14:paraId="6CF9215E" w14:textId="4D0AA4C5" w:rsidR="00DD3468" w:rsidRDefault="00000000">
      <w:pPr>
        <w:ind w:firstLineChars="200" w:firstLine="600"/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本</w:t>
      </w:r>
      <w:r>
        <w:rPr>
          <w:rFonts w:ascii="Times New Roman" w:eastAsia="方正仿宋_GB2312" w:hAnsi="Times New Roman" w:cs="Times New Roman" w:hint="eastAsia"/>
          <w:color w:val="0F1115"/>
          <w:sz w:val="30"/>
          <w:szCs w:val="30"/>
          <w:shd w:val="clear" w:color="auto" w:fill="FFFFFF"/>
        </w:rPr>
        <w:t>办法</w:t>
      </w:r>
      <w:r>
        <w:rPr>
          <w:rFonts w:ascii="Times New Roman" w:eastAsia="方正仿宋_GB2312" w:hAnsi="Times New Roman" w:cs="Times New Roman"/>
          <w:color w:val="0F1115"/>
          <w:sz w:val="30"/>
          <w:szCs w:val="30"/>
          <w:shd w:val="clear" w:color="auto" w:fill="FFFFFF"/>
        </w:rPr>
        <w:t>的解释权，由学院党政联席会议行使。</w:t>
      </w:r>
    </w:p>
    <w:sectPr w:rsidR="00DD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27AF263B-5251-B040-B4B5-69D8CFBDC05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70967F59-5ECC-6446-951E-4C3E193CA694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  <w:embedBold r:id="rId3" w:subsetted="1" w:fontKey="{9BCDB00E-4DE4-BD4E-9841-6EAF7DFAB065}"/>
  </w:font>
  <w:font w:name="方正仿宋_GB2312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  <w:embedRegular r:id="rId4" w:subsetted="1" w:fontKey="{3C33E050-0D81-6E43-A4E7-4CCBF81B35F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3F9E8D8E-9C4C-3A4E-A998-AC996CE0D21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468"/>
    <w:rsid w:val="0016497D"/>
    <w:rsid w:val="00DD3468"/>
    <w:rsid w:val="00EB40F2"/>
    <w:rsid w:val="4600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ABA00D1"/>
  <w15:docId w15:val="{4B510D9F-38B5-3D4E-A162-9ACAB0D5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Revision"/>
    <w:hidden/>
    <w:uiPriority w:val="99"/>
    <w:unhideWhenUsed/>
    <w:rsid w:val="0016497D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俞龙</dc:creator>
  <cp:lastModifiedBy>lsq647ki@163.com</cp:lastModifiedBy>
  <cp:revision>2</cp:revision>
  <dcterms:created xsi:type="dcterms:W3CDTF">2026-04-23T11:09:00Z</dcterms:created>
  <dcterms:modified xsi:type="dcterms:W3CDTF">2026-05-19T02:55:00Z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0FE5016F3AC44FD5A46F563207B74A59_11</vt:lpwstr>
  </property>
  <property fmtid="{D5CDD505-2E9C-101B-9397-08002B2CF9AE}" pid="4" name="KSOTemplateDocerSaveRecord">
    <vt:lpwstr>eyJoZGlkIjoiZDdkZDQ1NzJjZWIwYWEwYzdhMDMzMWJhMjg1OTA4ZjgiLCJ1c2VySWQiOiIxNjcwNzMyMDUzIn0=</vt:lpwstr>
  </property>
</Properties>
</file>